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D11E35" w14:textId="77777777" w:rsidR="00A87D6C" w:rsidRDefault="000E42EC">
      <w:pPr>
        <w:rPr>
          <w:rFonts w:eastAsia="Arial"/>
          <w:sz w:val="8"/>
          <w:szCs w:val="8"/>
        </w:rPr>
      </w:pPr>
      <w:r>
        <w:rPr>
          <w:b/>
          <w:bCs/>
          <w:sz w:val="32"/>
          <w:szCs w:val="32"/>
        </w:rPr>
        <w:t>Gesundheit beginnt im Raum</w:t>
      </w:r>
      <w:r>
        <w:rPr>
          <w:b/>
          <w:bCs/>
          <w:sz w:val="32"/>
          <w:szCs w:val="32"/>
        </w:rPr>
        <w:br/>
      </w:r>
      <w:r>
        <w:rPr>
          <w:rFonts w:eastAsia="Arial"/>
        </w:rPr>
        <w:t>Die interdisziplinäre Station am Universitätsklinikum Greifswald verbindet die Funktion eines Krankenhauses mit der Wohnlichkeit eines Hotelzimmers. Häfele unterstützt das Konzept mit Lichtlösungen, Beschlagtechnik und durchdachten Details.</w:t>
      </w:r>
      <w:r>
        <w:rPr>
          <w:rFonts w:eastAsia="Arial"/>
        </w:rPr>
        <w:br/>
      </w:r>
      <w:r>
        <w:rPr>
          <w:rFonts w:eastAsia="Arial"/>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752"/>
      </w:tblGrid>
      <w:tr w:rsidR="00A87D6C" w14:paraId="5984A084" w14:textId="77777777">
        <w:trPr>
          <w:jc w:val="center"/>
        </w:trPr>
        <w:tc>
          <w:tcPr>
            <w:tcW w:w="5000" w:type="pct"/>
            <w:tcBorders>
              <w:top w:val="nil"/>
              <w:left w:val="nil"/>
              <w:bottom w:val="nil"/>
              <w:right w:val="nil"/>
            </w:tcBorders>
            <w:tcMar>
              <w:top w:w="0" w:type="dxa"/>
              <w:left w:w="0" w:type="dxa"/>
              <w:bottom w:w="0" w:type="dxa"/>
              <w:right w:w="227" w:type="dxa"/>
            </w:tcMar>
          </w:tcPr>
          <w:p w14:paraId="4D809944" w14:textId="77777777" w:rsidR="00A87D6C" w:rsidRDefault="000E42EC">
            <w:pPr>
              <w:rPr>
                <w:sz w:val="18"/>
                <w:szCs w:val="18"/>
              </w:rPr>
            </w:pPr>
            <w:r>
              <w:rPr>
                <w:noProof/>
                <w:sz w:val="18"/>
                <w:szCs w:val="18"/>
              </w:rPr>
              <w:drawing>
                <wp:inline distT="0" distB="0" distL="0" distR="0" wp14:anchorId="32B7AF79" wp14:editId="4BD37B9D">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14:paraId="500EC77C" w14:textId="77777777" w:rsidR="00A87D6C" w:rsidRDefault="000E42EC">
      <w:pPr>
        <w:rPr>
          <w:sz w:val="8"/>
          <w:szCs w:val="8"/>
        </w:rPr>
      </w:pPr>
      <w:r>
        <w:rPr>
          <w:sz w:val="8"/>
          <w:szCs w:val="8"/>
        </w:rPr>
        <w:br/>
      </w:r>
    </w:p>
    <w:tbl>
      <w:tblPr>
        <w:tblStyle w:val="TabelleEinfach1"/>
        <w:tblW w:w="5043" w:type="pct"/>
        <w:tblLayout w:type="fixed"/>
        <w:tblCellMar>
          <w:left w:w="0" w:type="dxa"/>
          <w:right w:w="227" w:type="dxa"/>
        </w:tblCellMar>
        <w:tblLook w:val="04A0" w:firstRow="1" w:lastRow="0" w:firstColumn="1" w:lastColumn="0" w:noHBand="0" w:noVBand="1"/>
      </w:tblPr>
      <w:tblGrid>
        <w:gridCol w:w="3413"/>
        <w:gridCol w:w="3413"/>
        <w:gridCol w:w="3010"/>
      </w:tblGrid>
      <w:tr w:rsidR="00A87D6C" w14:paraId="75EAA01D" w14:textId="77777777" w:rsidTr="003A33B5">
        <w:tc>
          <w:tcPr>
            <w:tcW w:w="3470" w:type="pct"/>
            <w:gridSpan w:val="2"/>
            <w:tcBorders>
              <w:top w:val="nil"/>
              <w:left w:val="nil"/>
              <w:bottom w:val="nil"/>
              <w:right w:val="nil"/>
            </w:tcBorders>
            <w:tcMar>
              <w:top w:w="0" w:type="dxa"/>
              <w:left w:w="0" w:type="dxa"/>
              <w:bottom w:w="0" w:type="dxa"/>
              <w:right w:w="227" w:type="dxa"/>
            </w:tcMar>
          </w:tcPr>
          <w:p w14:paraId="6207D096" w14:textId="77777777" w:rsidR="00A87D6C" w:rsidRDefault="000E42EC">
            <w:pPr>
              <w:spacing w:after="240"/>
              <w:rPr>
                <w:sz w:val="20"/>
                <w:szCs w:val="20"/>
              </w:rPr>
            </w:pPr>
            <w:r>
              <w:rPr>
                <w:i/>
                <w:sz w:val="20"/>
                <w:szCs w:val="20"/>
              </w:rPr>
              <w:t>Auf einer Bruttogeschossfläche von 750 Quadratmetern zeigt die interdisziplinäre Station 11.2 B der Uniklinik Greifswald, wie Architektur, Möblierung und Lichtführung den Genesungsprozess maßgeblich unterstützen können. Denn wohltuende Aufenthaltsqualität ist hier nicht nur Beiwerk, sondern gezielt geplant. Der Ansatz folgt dem Anspruch, dass Gesundheit nicht erst mit der Therapie beginnt, sondern mit dem Raum, in dem Heilung möglich wird. Häfele lieferte dafür zentrale Bausteine, vom Spiegel im Patientenba</w:t>
            </w:r>
            <w:r>
              <w:rPr>
                <w:i/>
                <w:sz w:val="20"/>
                <w:szCs w:val="20"/>
              </w:rPr>
              <w:t>d über Schrankinnenbeleuchtung bis zu Beschlägen und Griffen als durchgängigem Standard.</w:t>
            </w:r>
          </w:p>
          <w:p w14:paraId="60DA03F3" w14:textId="77777777" w:rsidR="00A87D6C" w:rsidRDefault="000E42EC">
            <w:pPr>
              <w:spacing w:after="240"/>
              <w:rPr>
                <w:sz w:val="20"/>
                <w:szCs w:val="20"/>
              </w:rPr>
            </w:pPr>
            <w:r>
              <w:rPr>
                <w:sz w:val="20"/>
                <w:szCs w:val="20"/>
              </w:rPr>
              <w:t xml:space="preserve">Die Universitätsmedizin Greifswald bündelt in 20 Kliniken, 17 Instituten und weiteren Einrichtungen das Know-how und die fachliche Leistung von Ärztinnen und Ärzten, Pflegekräften, Naturwissenschaftlerinnen und -wissenschaftlern sowie Teams aus Medizintechnik und Verwaltung. Sie setzt Schwerpunkte vor allem in den Bereichen Kardiologie, Neurologie, Onkologie und individualisierte Medizin. Bei der Planung von Station 11.2 B stand aber nicht nur die medizinische Leistung im Fokus, sondern auch die Frage, wie </w:t>
            </w:r>
            <w:r>
              <w:rPr>
                <w:sz w:val="20"/>
                <w:szCs w:val="20"/>
              </w:rPr>
              <w:t>sich Prozesse, Atmosphäre und Ausstattung so verzahnen lassen, dass sie den Alltag für Patientinnen und Patienten ebenso wie für das Team spürbar angenehmer machen.</w:t>
            </w:r>
          </w:p>
          <w:p w14:paraId="26D66BFA" w14:textId="77777777" w:rsidR="00A87D6C" w:rsidRDefault="000E42EC">
            <w:pPr>
              <w:spacing w:after="240"/>
              <w:rPr>
                <w:sz w:val="20"/>
                <w:szCs w:val="20"/>
              </w:rPr>
            </w:pPr>
            <w:r>
              <w:rPr>
                <w:b/>
                <w:sz w:val="20"/>
                <w:szCs w:val="20"/>
              </w:rPr>
              <w:t>Hotelgefühl mit Mehrwert</w:t>
            </w:r>
          </w:p>
          <w:p w14:paraId="0AF9227A" w14:textId="77777777" w:rsidR="00A87D6C" w:rsidRDefault="000E42EC">
            <w:pPr>
              <w:spacing w:after="240"/>
              <w:rPr>
                <w:sz w:val="20"/>
                <w:szCs w:val="20"/>
              </w:rPr>
            </w:pPr>
            <w:r>
              <w:rPr>
                <w:sz w:val="20"/>
                <w:szCs w:val="20"/>
              </w:rPr>
              <w:t xml:space="preserve">Wie ein frischer Gruß von der nahegelegenen Ostsee empfängt die Station ihre Patientinnen und Patienten seit ihrer umfassenden Modernisierung 2025 mit einer Gestaltung, die maritime Anklänge aufnimmt und zugleich Geborgenheit vermittelt. Sand- und Blautöne, </w:t>
            </w:r>
            <w:r>
              <w:rPr>
                <w:sz w:val="20"/>
                <w:szCs w:val="20"/>
              </w:rPr>
              <w:lastRenderedPageBreak/>
              <w:t>Messingakzente und Details mit Meerbezug, wie Böden, die an ein Schiffsdeck erinnern, oder Bullaugen übersetzen die Küstennähe in Atmosphäre, ohne plakativ zu werden. Ergänzt wird dieses Bild durch Komfortdetails, die den Alltag erleichtern, weil sie genau dort unterstützen, wo Handgriffe schnell und sicher gehen sollen. Dazu zählt unter anderem die Schrankinnenbeleuchtung, die beim Öffnen der Schranktür automatisch angeht.</w:t>
            </w:r>
          </w:p>
          <w:p w14:paraId="12AC4ED5" w14:textId="77777777" w:rsidR="00A87D6C" w:rsidRDefault="000E42EC">
            <w:pPr>
              <w:spacing w:after="240"/>
              <w:rPr>
                <w:sz w:val="20"/>
                <w:szCs w:val="20"/>
              </w:rPr>
            </w:pPr>
            <w:r>
              <w:rPr>
                <w:sz w:val="20"/>
                <w:szCs w:val="20"/>
              </w:rPr>
              <w:t xml:space="preserve">„Nicht zu viel, nicht zu wenig. Genau richtig. Ganz nach dem skandinavischen Lebensgefühl ‚Lagom‘ schaffen wir Räume zum Wohlfühlen“, so beschreibt Christian Habel, Senior Architekt beim Generalunternehmer, ppm </w:t>
            </w:r>
            <w:proofErr w:type="spellStart"/>
            <w:r>
              <w:rPr>
                <w:sz w:val="20"/>
                <w:szCs w:val="20"/>
              </w:rPr>
              <w:t>planung</w:t>
            </w:r>
            <w:proofErr w:type="spellEnd"/>
            <w:r>
              <w:rPr>
                <w:sz w:val="20"/>
                <w:szCs w:val="20"/>
              </w:rPr>
              <w:t xml:space="preserve"> + </w:t>
            </w:r>
            <w:proofErr w:type="spellStart"/>
            <w:r>
              <w:rPr>
                <w:sz w:val="20"/>
                <w:szCs w:val="20"/>
              </w:rPr>
              <w:t>projekt</w:t>
            </w:r>
            <w:proofErr w:type="spellEnd"/>
            <w:r>
              <w:rPr>
                <w:sz w:val="20"/>
                <w:szCs w:val="20"/>
              </w:rPr>
              <w:t xml:space="preserve"> </w:t>
            </w:r>
            <w:proofErr w:type="spellStart"/>
            <w:r>
              <w:rPr>
                <w:sz w:val="20"/>
                <w:szCs w:val="20"/>
              </w:rPr>
              <w:t>management</w:t>
            </w:r>
            <w:proofErr w:type="spellEnd"/>
            <w:r>
              <w:rPr>
                <w:sz w:val="20"/>
                <w:szCs w:val="20"/>
              </w:rPr>
              <w:t xml:space="preserve"> GmbH die atmosphärische Leitlinie für die zehn Patientenzimmer. Lagom gilt in Schweden als Kunst der Ausgewogenheit, bewusst gestaltet, ohne Übermaß, sodass sich eine ruhige, stimmige Alltags-Harmonie einstellt. Dass die Private Krankenversicherung (PKV) die Station mit Bestnoten bewertet, unterstreicht den erreichten Qualitätsanspruch. Greifbar wird er vor allem dort, wo Gestaltung und Nutzen nahtlos ineinandergreifen.</w:t>
            </w:r>
          </w:p>
          <w:p w14:paraId="7758F0CE" w14:textId="77777777" w:rsidR="00A87D6C" w:rsidRDefault="000E42EC">
            <w:pPr>
              <w:spacing w:after="240"/>
              <w:rPr>
                <w:sz w:val="20"/>
                <w:szCs w:val="20"/>
              </w:rPr>
            </w:pPr>
            <w:r>
              <w:rPr>
                <w:b/>
                <w:sz w:val="20"/>
                <w:szCs w:val="20"/>
              </w:rPr>
              <w:t xml:space="preserve">Ästhetisch und funktional: Wohltuend für alle </w:t>
            </w:r>
          </w:p>
          <w:p w14:paraId="2A1B0E37" w14:textId="77777777" w:rsidR="00A87D6C" w:rsidRDefault="000E42EC">
            <w:pPr>
              <w:spacing w:after="240"/>
              <w:rPr>
                <w:sz w:val="20"/>
                <w:szCs w:val="20"/>
              </w:rPr>
            </w:pPr>
            <w:r>
              <w:rPr>
                <w:sz w:val="20"/>
                <w:szCs w:val="20"/>
              </w:rPr>
              <w:t>Einbauten bündeln überall auf der Station Funktionen, ohne den Raum zu überladen. In den Patientenzimmern ist ein Schrankelement mit Beschlägen von Häfele zum Beispiel als Garderobe nutzbar, inklusive Einlegeboden und Kleiderstange, mit oberen Fächern, die abschließbar sind. Beim Öffnen der Türen beleuchtet indirektes Licht das Innere des Möbels – automatisch und kontaktlos dank individuell angepasster LED-Linearleuchten von Häfele.</w:t>
            </w:r>
          </w:p>
          <w:p w14:paraId="6AFD25BA" w14:textId="77777777" w:rsidR="00A87D6C" w:rsidRDefault="000E42EC">
            <w:pPr>
              <w:spacing w:after="240"/>
              <w:rPr>
                <w:sz w:val="20"/>
                <w:szCs w:val="20"/>
              </w:rPr>
            </w:pPr>
            <w:r>
              <w:rPr>
                <w:sz w:val="20"/>
                <w:szCs w:val="20"/>
              </w:rPr>
              <w:t>So bleiben persönliche Dinge geschützt und Ordnung wird zur Selbstverständlichkeit, nicht zur täglichen Aufgabe. Diese Mischung aus Privatheit und Struktur fühlt sich für die Nutzer in erster Linie sehr komfortabel an. Im Klinikbetrieb ist sie aber gleichzeitig kalkulierte Arbeitsökonomie.</w:t>
            </w:r>
          </w:p>
          <w:p w14:paraId="0C9D30EE" w14:textId="77777777" w:rsidR="00A87D6C" w:rsidRDefault="000E42EC">
            <w:pPr>
              <w:spacing w:after="240"/>
              <w:rPr>
                <w:sz w:val="20"/>
                <w:szCs w:val="20"/>
              </w:rPr>
            </w:pPr>
            <w:r>
              <w:rPr>
                <w:sz w:val="20"/>
                <w:szCs w:val="20"/>
              </w:rPr>
              <w:t xml:space="preserve">Auch im Patientenbad zeigt sich die gute Kombination aus Ambiente und Funktionalität ganz konkret, denn Licht ist hier mehr als Komfort. Eine gute Ausleuchtung schafft Orientierung und erhöht die Sicherheit, gerade bei nächtlichen Wegen oder eingeschränkter Mobilität. Umgesetzt wird das über den </w:t>
            </w:r>
            <w:proofErr w:type="spellStart"/>
            <w:r>
              <w:rPr>
                <w:sz w:val="20"/>
                <w:szCs w:val="20"/>
              </w:rPr>
              <w:t>Aquasys</w:t>
            </w:r>
            <w:proofErr w:type="spellEnd"/>
            <w:r>
              <w:rPr>
                <w:sz w:val="20"/>
                <w:szCs w:val="20"/>
              </w:rPr>
              <w:t xml:space="preserve"> Spiegel von Häfele. Und selbst dort, wo die maritime Gestaltung über die Hand erlebt wird, bleibt Häfele durchgängig präsent. Als wiederkehrendes Element kommen Möbelgriffe im „Bootslook“ zum Einsatz.</w:t>
            </w:r>
          </w:p>
          <w:p w14:paraId="056AE4B8" w14:textId="77777777" w:rsidR="00A87D6C" w:rsidRDefault="000E42EC">
            <w:pPr>
              <w:spacing w:after="240"/>
              <w:rPr>
                <w:sz w:val="20"/>
                <w:szCs w:val="20"/>
              </w:rPr>
            </w:pPr>
            <w:r>
              <w:rPr>
                <w:b/>
                <w:sz w:val="20"/>
                <w:szCs w:val="20"/>
              </w:rPr>
              <w:t xml:space="preserve">Häfele als roter Faden </w:t>
            </w:r>
          </w:p>
          <w:p w14:paraId="70D51A8B" w14:textId="77777777" w:rsidR="00A87D6C" w:rsidRDefault="000E42EC">
            <w:pPr>
              <w:spacing w:after="240"/>
              <w:rPr>
                <w:sz w:val="20"/>
                <w:szCs w:val="20"/>
              </w:rPr>
            </w:pPr>
            <w:r>
              <w:rPr>
                <w:sz w:val="20"/>
                <w:szCs w:val="20"/>
              </w:rPr>
              <w:t xml:space="preserve">Häfele bildet die verlässliche Klammer um das gesamte Interieur. In der Möblierung stammen alle Beschläge von Häfele. Dadurch entsteht von den Patientenzimmern bis in die Allgemeinflächen eine konsistente </w:t>
            </w:r>
            <w:r>
              <w:rPr>
                <w:sz w:val="20"/>
                <w:szCs w:val="20"/>
              </w:rPr>
              <w:lastRenderedPageBreak/>
              <w:t>Qualität – in den großen Einbauten ebenso wie in den kleinen Berührungspunkten des Alltags.</w:t>
            </w:r>
          </w:p>
          <w:p w14:paraId="3A682D13" w14:textId="77777777" w:rsidR="00A87D6C" w:rsidRDefault="000E42EC">
            <w:pPr>
              <w:spacing w:after="240"/>
              <w:rPr>
                <w:sz w:val="20"/>
                <w:szCs w:val="20"/>
              </w:rPr>
            </w:pPr>
            <w:r>
              <w:rPr>
                <w:sz w:val="20"/>
                <w:szCs w:val="20"/>
              </w:rPr>
              <w:t>Schrankwände, Sideboards und Theken in den Allgemeinflächen sind auf eine hohe Beanspruchung ausgelegt und bleiben dank der abgestimmten Beschlagwelt im täglichen Handling dauerhaft robust und zuverlässig. „Wenn alles verlässlich funktioniert und überall gleich zu bedienen ist, wird die Arbeit einfacher: Das Team findet sich schnell zurecht, Abläufe werden flüssiger, und im Alltag bleibt mehr Aufmerksamkeit für das Wesentliche, da die kognitive Last im Pflegealltag spürbar sinkt“, so Freimut Stauss, Key Acc</w:t>
            </w:r>
            <w:r>
              <w:rPr>
                <w:sz w:val="20"/>
                <w:szCs w:val="20"/>
              </w:rPr>
              <w:t>ount Manager Health Care bei Häfele.</w:t>
            </w:r>
          </w:p>
          <w:p w14:paraId="4995FF01" w14:textId="77777777" w:rsidR="00A87D6C" w:rsidRDefault="000E42EC">
            <w:pPr>
              <w:spacing w:after="240"/>
              <w:rPr>
                <w:sz w:val="20"/>
                <w:szCs w:val="20"/>
              </w:rPr>
            </w:pPr>
            <w:r>
              <w:rPr>
                <w:b/>
                <w:sz w:val="20"/>
                <w:szCs w:val="20"/>
              </w:rPr>
              <w:t>Der entscheidende Unterschied heißt Zusammenarbeit</w:t>
            </w:r>
          </w:p>
          <w:p w14:paraId="214EB9A5" w14:textId="4B28F7CD" w:rsidR="00A87D6C" w:rsidRDefault="000E42EC">
            <w:pPr>
              <w:spacing w:after="240"/>
              <w:rPr>
                <w:sz w:val="20"/>
                <w:szCs w:val="20"/>
              </w:rPr>
            </w:pPr>
            <w:r>
              <w:rPr>
                <w:sz w:val="20"/>
                <w:szCs w:val="20"/>
              </w:rPr>
              <w:t>Im Betrieb zeigt sich, ob ein Konzept den Alltag tatsächlich erleichtert. Die interdisziplinäre Station bewährt sich seit Frühling 2025 als Arbeits- und Aufenthaltsort, an dem Menschen sich wohlfühlen, Handgriffe sicher sitzen und die Ausstattung Abläufe erleichtert. Ermöglicht wird diese Qualität durch das eng abgestimmte Zusammenspiel aller Beteiligten, vom Innenausbau über die Technik bis zur Ausstattung. Die gesamte Umbaumaßnahme wurde innerhalb eines speziellen Netzwerks realisiert: HOME2BE bündelt als</w:t>
            </w:r>
            <w:r>
              <w:rPr>
                <w:sz w:val="20"/>
                <w:szCs w:val="20"/>
              </w:rPr>
              <w:t xml:space="preserve"> Zusammenschluss starker Lösungspartner wie Häfele, ppm </w:t>
            </w:r>
            <w:proofErr w:type="spellStart"/>
            <w:r>
              <w:rPr>
                <w:sz w:val="20"/>
                <w:szCs w:val="20"/>
              </w:rPr>
              <w:t>planung</w:t>
            </w:r>
            <w:proofErr w:type="spellEnd"/>
            <w:r>
              <w:rPr>
                <w:sz w:val="20"/>
                <w:szCs w:val="20"/>
              </w:rPr>
              <w:t xml:space="preserve"> + </w:t>
            </w:r>
            <w:proofErr w:type="spellStart"/>
            <w:r>
              <w:rPr>
                <w:sz w:val="20"/>
                <w:szCs w:val="20"/>
              </w:rPr>
              <w:t>projekt</w:t>
            </w:r>
            <w:proofErr w:type="spellEnd"/>
            <w:r>
              <w:rPr>
                <w:sz w:val="20"/>
                <w:szCs w:val="20"/>
              </w:rPr>
              <w:t xml:space="preserve"> </w:t>
            </w:r>
            <w:proofErr w:type="spellStart"/>
            <w:r>
              <w:rPr>
                <w:sz w:val="20"/>
                <w:szCs w:val="20"/>
              </w:rPr>
              <w:t>management</w:t>
            </w:r>
            <w:proofErr w:type="spellEnd"/>
            <w:r>
              <w:rPr>
                <w:sz w:val="20"/>
                <w:szCs w:val="20"/>
              </w:rPr>
              <w:t xml:space="preserve"> GmbH, </w:t>
            </w:r>
            <w:proofErr w:type="spellStart"/>
            <w:r>
              <w:rPr>
                <w:sz w:val="20"/>
                <w:szCs w:val="20"/>
              </w:rPr>
              <w:t>Keuco</w:t>
            </w:r>
            <w:proofErr w:type="spellEnd"/>
            <w:r>
              <w:rPr>
                <w:sz w:val="20"/>
                <w:szCs w:val="20"/>
              </w:rPr>
              <w:t xml:space="preserve"> und Gira die nötigen Kompetenzen. Das ist besonders hilfreich bei Sanierungen im Gesundheitswesen, weil Planung, Umsetzung und Ausstattung hier eng verzahnt und gut getaktet ablaufen müssen. „Das Netzwerk rund um dieses Projekt, welches gewerkübergreifend zusammenspielt“, beschreibt Freimut Stauss als den „besonderen Hebel“, der genau diese Qualität möglich macht.</w:t>
            </w:r>
            <w:r>
              <w:rPr>
                <w:sz w:val="20"/>
                <w:szCs w:val="20"/>
              </w:rPr>
              <w:t> </w:t>
            </w:r>
          </w:p>
          <w:p w14:paraId="4D18E664" w14:textId="19DE7C57" w:rsidR="00B44E94" w:rsidRDefault="00B44E94">
            <w:pPr>
              <w:spacing w:after="240"/>
              <w:rPr>
                <w:sz w:val="20"/>
                <w:szCs w:val="20"/>
              </w:rPr>
            </w:pPr>
            <w:r>
              <w:rPr>
                <w:sz w:val="20"/>
                <w:szCs w:val="20"/>
              </w:rPr>
              <w:t>Nagold, April 2026</w:t>
            </w:r>
            <w:r>
              <w:rPr>
                <w:sz w:val="20"/>
                <w:szCs w:val="20"/>
              </w:rPr>
              <w:br/>
              <w:t>Abdruck honorarfrei / Beleg erbeten</w:t>
            </w:r>
          </w:p>
          <w:tbl>
            <w:tblPr>
              <w:tblW w:w="5000" w:type="pct"/>
              <w:tblCellSpacing w:w="0" w:type="dxa"/>
              <w:tblBorders>
                <w:top w:val="nil"/>
                <w:left w:val="nil"/>
                <w:bottom w:val="nil"/>
                <w:right w:val="nil"/>
              </w:tblBorders>
              <w:tblCellMar>
                <w:top w:w="120" w:type="dxa"/>
                <w:left w:w="120" w:type="dxa"/>
                <w:bottom w:w="120" w:type="dxa"/>
                <w:right w:w="120" w:type="dxa"/>
              </w:tblCellMar>
              <w:tblLook w:val="04A0" w:firstRow="1" w:lastRow="0" w:firstColumn="1" w:lastColumn="0" w:noHBand="0" w:noVBand="1"/>
            </w:tblPr>
            <w:tblGrid>
              <w:gridCol w:w="6583"/>
            </w:tblGrid>
            <w:tr w:rsidR="00A87D6C" w14:paraId="0AF2F38C" w14:textId="77777777">
              <w:trPr>
                <w:tblCellSpacing w:w="0" w:type="dxa"/>
              </w:trPr>
              <w:tc>
                <w:tcPr>
                  <w:tcW w:w="5000" w:type="pct"/>
                  <w:tcBorders>
                    <w:top w:val="single" w:sz="6" w:space="0" w:color="000000"/>
                    <w:left w:val="single" w:sz="6" w:space="0" w:color="000000"/>
                    <w:bottom w:val="single" w:sz="6" w:space="0" w:color="000000"/>
                    <w:right w:val="single" w:sz="6" w:space="0" w:color="000000"/>
                  </w:tcBorders>
                  <w:vAlign w:val="center"/>
                  <w:hideMark/>
                </w:tcPr>
                <w:p w14:paraId="6434A3D7" w14:textId="77777777" w:rsidR="00A87D6C" w:rsidRDefault="000E42EC">
                  <w:pPr>
                    <w:spacing w:after="240"/>
                    <w:rPr>
                      <w:sz w:val="20"/>
                      <w:szCs w:val="20"/>
                    </w:rPr>
                  </w:pPr>
                  <w:r>
                    <w:rPr>
                      <w:rFonts w:eastAsia="Arial"/>
                      <w:sz w:val="20"/>
                      <w:szCs w:val="20"/>
                    </w:rPr>
                    <w:t>HOME2BE ist ein Partnerverbund für Sanierungen im Gesundheitswesen. Statt viele Einzelgewerke zu koordinieren, bündelt das Netzwerk Planung, Ausstattung, Licht, Sanitär und Gebäudetechnik in einem abgestimmten Vorgehen. So entstehen schlüsselfertige Raumkonzepte mit kurzen Wegen, überschaubarem Abstimmungsaufwand und Lösungen, die sich im Betrieb bewähren. Mit den Markenprodukten der Lösungspartner wird zudem verlässliche Lieferfähigkeit und Ersatzteilversorgung auch nach Jahren abgesichert.</w:t>
                  </w:r>
                </w:p>
                <w:p w14:paraId="527E5216" w14:textId="77777777" w:rsidR="00A87D6C" w:rsidRDefault="000E42EC">
                  <w:pPr>
                    <w:spacing w:after="240"/>
                    <w:rPr>
                      <w:sz w:val="20"/>
                      <w:szCs w:val="20"/>
                    </w:rPr>
                  </w:pPr>
                  <w:r>
                    <w:rPr>
                      <w:sz w:val="20"/>
                      <w:szCs w:val="20"/>
                    </w:rPr>
                    <w:t>Lösungspartner</w:t>
                  </w:r>
                  <w:r>
                    <w:rPr>
                      <w:rFonts w:eastAsia="Arial"/>
                      <w:sz w:val="20"/>
                      <w:szCs w:val="20"/>
                    </w:rPr>
                    <w:t xml:space="preserve">: ppm </w:t>
                  </w:r>
                  <w:proofErr w:type="spellStart"/>
                  <w:r>
                    <w:rPr>
                      <w:rFonts w:eastAsia="Arial"/>
                      <w:sz w:val="20"/>
                      <w:szCs w:val="20"/>
                    </w:rPr>
                    <w:t>planung</w:t>
                  </w:r>
                  <w:proofErr w:type="spellEnd"/>
                  <w:r>
                    <w:rPr>
                      <w:rFonts w:eastAsia="Arial"/>
                      <w:sz w:val="20"/>
                      <w:szCs w:val="20"/>
                    </w:rPr>
                    <w:t xml:space="preserve"> + </w:t>
                  </w:r>
                  <w:proofErr w:type="spellStart"/>
                  <w:r>
                    <w:rPr>
                      <w:rFonts w:eastAsia="Arial"/>
                      <w:sz w:val="20"/>
                      <w:szCs w:val="20"/>
                    </w:rPr>
                    <w:t>projekt</w:t>
                  </w:r>
                  <w:proofErr w:type="spellEnd"/>
                  <w:r>
                    <w:rPr>
                      <w:rFonts w:eastAsia="Arial"/>
                      <w:sz w:val="20"/>
                      <w:szCs w:val="20"/>
                    </w:rPr>
                    <w:t xml:space="preserve"> </w:t>
                  </w:r>
                  <w:proofErr w:type="spellStart"/>
                  <w:r>
                    <w:rPr>
                      <w:rFonts w:eastAsia="Arial"/>
                      <w:sz w:val="20"/>
                      <w:szCs w:val="20"/>
                    </w:rPr>
                    <w:t>management</w:t>
                  </w:r>
                  <w:proofErr w:type="spellEnd"/>
                  <w:r>
                    <w:rPr>
                      <w:rFonts w:eastAsia="Arial"/>
                      <w:sz w:val="20"/>
                      <w:szCs w:val="20"/>
                    </w:rPr>
                    <w:t xml:space="preserve">, </w:t>
                  </w:r>
                  <w:r>
                    <w:rPr>
                      <w:sz w:val="20"/>
                      <w:szCs w:val="20"/>
                    </w:rPr>
                    <w:t>Häfele</w:t>
                  </w:r>
                  <w:r>
                    <w:rPr>
                      <w:rFonts w:eastAsia="Arial"/>
                      <w:sz w:val="20"/>
                      <w:szCs w:val="20"/>
                    </w:rPr>
                    <w:t xml:space="preserve">, KEUCO, Gira und LTS Light. Kooperationspartner: </w:t>
                  </w:r>
                  <w:proofErr w:type="spellStart"/>
                  <w:r>
                    <w:rPr>
                      <w:rFonts w:eastAsia="Arial"/>
                      <w:sz w:val="20"/>
                      <w:szCs w:val="20"/>
                    </w:rPr>
                    <w:t>Gerflor</w:t>
                  </w:r>
                  <w:proofErr w:type="spellEnd"/>
                  <w:r>
                    <w:rPr>
                      <w:rFonts w:eastAsia="Arial"/>
                      <w:sz w:val="20"/>
                      <w:szCs w:val="20"/>
                    </w:rPr>
                    <w:t xml:space="preserve">, </w:t>
                  </w:r>
                  <w:proofErr w:type="spellStart"/>
                  <w:r>
                    <w:rPr>
                      <w:rFonts w:eastAsia="Arial"/>
                      <w:sz w:val="20"/>
                      <w:szCs w:val="20"/>
                    </w:rPr>
                    <w:t>Döllken</w:t>
                  </w:r>
                  <w:proofErr w:type="spellEnd"/>
                  <w:r>
                    <w:rPr>
                      <w:rFonts w:eastAsia="Arial"/>
                      <w:sz w:val="20"/>
                      <w:szCs w:val="20"/>
                    </w:rPr>
                    <w:t xml:space="preserve">, EGGER und IBS </w:t>
                  </w:r>
                  <w:proofErr w:type="spellStart"/>
                  <w:r>
                    <w:rPr>
                      <w:rFonts w:eastAsia="Arial"/>
                      <w:sz w:val="20"/>
                      <w:szCs w:val="20"/>
                    </w:rPr>
                    <w:t>systeme</w:t>
                  </w:r>
                  <w:proofErr w:type="spellEnd"/>
                  <w:r>
                    <w:rPr>
                      <w:rFonts w:eastAsia="Arial"/>
                      <w:sz w:val="20"/>
                      <w:szCs w:val="20"/>
                    </w:rPr>
                    <w:t>.</w:t>
                  </w:r>
                </w:p>
                <w:p w14:paraId="531FEDCF" w14:textId="77777777" w:rsidR="00A87D6C" w:rsidRDefault="000E42EC">
                  <w:pPr>
                    <w:spacing w:after="240"/>
                    <w:rPr>
                      <w:sz w:val="20"/>
                      <w:szCs w:val="20"/>
                    </w:rPr>
                  </w:pPr>
                  <w:r>
                    <w:rPr>
                      <w:rFonts w:eastAsia="Arial"/>
                      <w:sz w:val="20"/>
                      <w:szCs w:val="20"/>
                    </w:rPr>
                    <w:t xml:space="preserve">Mehr unter: </w:t>
                  </w:r>
                  <w:hyperlink r:id="rId7">
                    <w:r>
                      <w:rPr>
                        <w:rStyle w:val="Hyperlink"/>
                        <w:rFonts w:eastAsia="Arial"/>
                        <w:color w:val="000000"/>
                        <w:sz w:val="20"/>
                        <w:szCs w:val="20"/>
                      </w:rPr>
                      <w:t>www.home2be.de</w:t>
                    </w:r>
                  </w:hyperlink>
                </w:p>
              </w:tc>
            </w:tr>
          </w:tbl>
          <w:p w14:paraId="010F17A2" w14:textId="52C0A307" w:rsidR="00A87D6C" w:rsidRDefault="00A87D6C">
            <w:pPr>
              <w:rPr>
                <w:sz w:val="20"/>
                <w:szCs w:val="20"/>
              </w:rPr>
            </w:pPr>
          </w:p>
        </w:tc>
        <w:tc>
          <w:tcPr>
            <w:tcW w:w="1530" w:type="pct"/>
            <w:tcBorders>
              <w:top w:val="nil"/>
              <w:left w:val="nil"/>
              <w:bottom w:val="nil"/>
              <w:right w:val="nil"/>
            </w:tcBorders>
            <w:tcMar>
              <w:top w:w="0" w:type="dxa"/>
              <w:left w:w="0" w:type="dxa"/>
              <w:bottom w:w="0" w:type="dxa"/>
              <w:right w:w="227" w:type="dxa"/>
            </w:tcMar>
          </w:tcPr>
          <w:p w14:paraId="1D2F8BAA" w14:textId="77777777" w:rsidR="003A33B5" w:rsidRDefault="000E42EC" w:rsidP="003A33B5">
            <w:pPr>
              <w:ind w:right="-448"/>
              <w:rPr>
                <w:b/>
                <w:sz w:val="20"/>
                <w:szCs w:val="20"/>
              </w:rPr>
            </w:pPr>
            <w:r>
              <w:rPr>
                <w:b/>
                <w:sz w:val="20"/>
                <w:szCs w:val="20"/>
              </w:rPr>
              <w:lastRenderedPageBreak/>
              <w:t>Ansprechpartner</w:t>
            </w:r>
            <w:r w:rsidR="003A33B5">
              <w:rPr>
                <w:b/>
                <w:sz w:val="20"/>
                <w:szCs w:val="20"/>
              </w:rPr>
              <w:t>in</w:t>
            </w:r>
          </w:p>
          <w:p w14:paraId="3B0A5AB9" w14:textId="440DC915" w:rsidR="00A87D6C" w:rsidRDefault="000E42EC" w:rsidP="003A33B5">
            <w:pPr>
              <w:ind w:right="-448"/>
              <w:rPr>
                <w:sz w:val="20"/>
                <w:szCs w:val="20"/>
              </w:rPr>
            </w:pPr>
            <w:r>
              <w:rPr>
                <w:b/>
                <w:sz w:val="20"/>
                <w:szCs w:val="20"/>
              </w:rPr>
              <w:t>für Journalisten:</w:t>
            </w:r>
            <w:r>
              <w:rPr>
                <w:b/>
                <w:sz w:val="20"/>
                <w:szCs w:val="20"/>
              </w:rPr>
              <w:br/>
            </w:r>
            <w:r>
              <w:rPr>
                <w:sz w:val="20"/>
                <w:szCs w:val="20"/>
              </w:rPr>
              <w:t>Susanne Dubbert</w:t>
            </w:r>
            <w:r>
              <w:rPr>
                <w:sz w:val="20"/>
                <w:szCs w:val="20"/>
              </w:rPr>
              <w:br/>
              <w:t>bering*kopal GbR, Büro für Kommunikation</w:t>
            </w:r>
            <w:r>
              <w:rPr>
                <w:sz w:val="20"/>
                <w:szCs w:val="20"/>
              </w:rPr>
              <w:br/>
              <w:t>T + 49 (0) 711 74 51 759-13</w:t>
            </w:r>
            <w:r>
              <w:rPr>
                <w:sz w:val="20"/>
                <w:szCs w:val="20"/>
              </w:rPr>
              <w:br/>
              <w:t>susanne.dubbert@bering-kopal.de</w:t>
            </w:r>
            <w:r>
              <w:rPr>
                <w:sz w:val="20"/>
                <w:szCs w:val="20"/>
              </w:rPr>
              <w:br/>
              <w:t>www.bering-kopal.de</w:t>
            </w:r>
          </w:p>
          <w:p w14:paraId="17473FE1" w14:textId="77777777" w:rsidR="00A87D6C" w:rsidRDefault="000E42EC">
            <w:pPr>
              <w:spacing w:after="240"/>
              <w:rPr>
                <w:sz w:val="20"/>
                <w:szCs w:val="20"/>
              </w:rPr>
            </w:pPr>
            <w:r>
              <w:rPr>
                <w:b/>
                <w:sz w:val="20"/>
                <w:szCs w:val="20"/>
              </w:rPr>
              <w:t>Ansprechpartnerin im Unternehmen:</w:t>
            </w:r>
            <w:r>
              <w:rPr>
                <w:b/>
                <w:sz w:val="20"/>
                <w:szCs w:val="20"/>
              </w:rPr>
              <w:br/>
            </w:r>
            <w:r>
              <w:rPr>
                <w:sz w:val="20"/>
                <w:szCs w:val="20"/>
              </w:rPr>
              <w:t>Sarah Grünler</w:t>
            </w:r>
            <w:r>
              <w:rPr>
                <w:sz w:val="20"/>
                <w:szCs w:val="20"/>
              </w:rPr>
              <w:br/>
              <w:t>Senior Corporate Communications Manager</w:t>
            </w:r>
            <w:r>
              <w:rPr>
                <w:sz w:val="20"/>
                <w:szCs w:val="20"/>
              </w:rPr>
              <w:br/>
              <w:t>Häfele SE &amp; Co KG</w:t>
            </w:r>
            <w:r>
              <w:rPr>
                <w:sz w:val="20"/>
                <w:szCs w:val="20"/>
              </w:rPr>
              <w:br/>
              <w:t>Tel.: +49 (0)7452 95-510</w:t>
            </w:r>
            <w:r>
              <w:rPr>
                <w:sz w:val="20"/>
                <w:szCs w:val="20"/>
              </w:rPr>
              <w:br/>
              <w:t>Mobil: +49 160 97871786</w:t>
            </w:r>
            <w:r>
              <w:rPr>
                <w:sz w:val="20"/>
                <w:szCs w:val="20"/>
              </w:rPr>
              <w:br/>
              <w:t>sarah.gruenler@haefele.de</w:t>
            </w:r>
          </w:p>
          <w:p w14:paraId="236A636C" w14:textId="77777777" w:rsidR="00A87D6C" w:rsidRDefault="000E42EC">
            <w:pPr>
              <w:spacing w:after="240"/>
              <w:rPr>
                <w:sz w:val="20"/>
                <w:szCs w:val="20"/>
              </w:rPr>
            </w:pPr>
            <w:r>
              <w:rPr>
                <w:sz w:val="20"/>
                <w:szCs w:val="20"/>
              </w:rPr>
              <w:t> </w:t>
            </w:r>
          </w:p>
          <w:p w14:paraId="4374E10E" w14:textId="77777777" w:rsidR="00A87D6C" w:rsidRDefault="000E42EC">
            <w:pPr>
              <w:rPr>
                <w:sz w:val="20"/>
                <w:szCs w:val="20"/>
              </w:rPr>
            </w:pPr>
            <w:r>
              <w:rPr>
                <w:sz w:val="20"/>
                <w:szCs w:val="20"/>
              </w:rPr>
              <w:t> </w:t>
            </w:r>
          </w:p>
        </w:tc>
      </w:tr>
      <w:tr w:rsidR="00A87D6C" w14:paraId="61A79850" w14:textId="77777777" w:rsidTr="003A33B5">
        <w:trPr>
          <w:gridAfter w:val="1"/>
          <w:wAfter w:w="1530" w:type="pct"/>
        </w:trPr>
        <w:tc>
          <w:tcPr>
            <w:tcW w:w="1735" w:type="pct"/>
            <w:tcBorders>
              <w:top w:val="nil"/>
              <w:left w:val="nil"/>
              <w:bottom w:val="nil"/>
              <w:right w:val="nil"/>
            </w:tcBorders>
            <w:tcMar>
              <w:top w:w="0" w:type="dxa"/>
              <w:left w:w="0" w:type="dxa"/>
              <w:bottom w:w="0" w:type="dxa"/>
              <w:right w:w="227" w:type="dxa"/>
            </w:tcMar>
          </w:tcPr>
          <w:p w14:paraId="450D640F" w14:textId="77777777" w:rsidR="00A87D6C" w:rsidRDefault="00A87D6C">
            <w:pPr>
              <w:rPr>
                <w:sz w:val="20"/>
                <w:szCs w:val="20"/>
              </w:rPr>
            </w:pPr>
          </w:p>
        </w:tc>
        <w:tc>
          <w:tcPr>
            <w:tcW w:w="1735" w:type="pct"/>
            <w:tcBorders>
              <w:top w:val="nil"/>
              <w:left w:val="nil"/>
              <w:bottom w:val="nil"/>
              <w:right w:val="nil"/>
            </w:tcBorders>
            <w:tcMar>
              <w:top w:w="0" w:type="dxa"/>
              <w:left w:w="0" w:type="dxa"/>
              <w:bottom w:w="0" w:type="dxa"/>
              <w:right w:w="227" w:type="dxa"/>
            </w:tcMar>
          </w:tcPr>
          <w:p w14:paraId="2DC4601A" w14:textId="77777777" w:rsidR="00A87D6C" w:rsidRDefault="00A87D6C">
            <w:pPr>
              <w:rPr>
                <w:sz w:val="20"/>
                <w:szCs w:val="20"/>
              </w:rPr>
            </w:pPr>
          </w:p>
        </w:tc>
      </w:tr>
    </w:tbl>
    <w:p w14:paraId="758B3137" w14:textId="433B23C0" w:rsidR="00A87D6C" w:rsidRDefault="00A87D6C"/>
    <w:p w14:paraId="77EC0A5B" w14:textId="77777777" w:rsidR="00A87D6C" w:rsidRDefault="000E42EC">
      <w:pPr>
        <w:spacing w:line="240" w:lineRule="auto"/>
        <w:rPr>
          <w:sz w:val="17"/>
          <w:szCs w:val="17"/>
        </w:rPr>
      </w:pPr>
      <w:r>
        <w:rPr>
          <w:b/>
          <w:sz w:val="17"/>
          <w:szCs w:val="17"/>
        </w:rPr>
        <w:t>1</w:t>
      </w:r>
      <w:r>
        <w:rPr>
          <w:sz w:val="17"/>
          <w:szCs w:val="17"/>
        </w:rPr>
        <w:t xml:space="preserve"> Warmes Holz, helle Flächen und Ostsee-Motive über dem Bett prägen die wohnliche Anmutung in den Zimmern der Patientinnen und Patienten. In den Einbauten sorgen Häfele Möbelbeschläge für verlässliche Funktion im täglichen Gebrauch. Foto: ppm GmbH / Cordula Feck</w:t>
      </w:r>
      <w:r>
        <w:rPr>
          <w:sz w:val="17"/>
          <w:szCs w:val="17"/>
        </w:rPr>
        <w:br/>
      </w:r>
    </w:p>
    <w:p w14:paraId="35563D2B" w14:textId="77777777" w:rsidR="00A87D6C" w:rsidRDefault="000E42EC">
      <w:pPr>
        <w:spacing w:line="240" w:lineRule="auto"/>
        <w:rPr>
          <w:sz w:val="17"/>
          <w:szCs w:val="17"/>
        </w:rPr>
      </w:pPr>
      <w:r>
        <w:rPr>
          <w:b/>
          <w:sz w:val="17"/>
          <w:szCs w:val="17"/>
        </w:rPr>
        <w:t>2</w:t>
      </w:r>
      <w:r>
        <w:rPr>
          <w:sz w:val="17"/>
          <w:szCs w:val="17"/>
        </w:rPr>
        <w:t xml:space="preserve"> Der Flur führt als „Promenade“ mit Bullaugen-Details an den Türen über die Station und schafft durch Meerillustrationen Orientierung entlang der Wege. Foto: ppm GmbH / Cordula Feck</w:t>
      </w:r>
      <w:r>
        <w:rPr>
          <w:sz w:val="17"/>
          <w:szCs w:val="17"/>
        </w:rPr>
        <w:br/>
      </w:r>
    </w:p>
    <w:p w14:paraId="48757B0E" w14:textId="77777777" w:rsidR="00A87D6C" w:rsidRDefault="000E42EC">
      <w:pPr>
        <w:spacing w:line="240" w:lineRule="auto"/>
        <w:rPr>
          <w:sz w:val="17"/>
          <w:szCs w:val="17"/>
        </w:rPr>
      </w:pPr>
      <w:r>
        <w:rPr>
          <w:b/>
          <w:sz w:val="17"/>
          <w:szCs w:val="17"/>
        </w:rPr>
        <w:t>3</w:t>
      </w:r>
      <w:r>
        <w:rPr>
          <w:sz w:val="17"/>
          <w:szCs w:val="17"/>
        </w:rPr>
        <w:t xml:space="preserve"> Lichtdurchflutet und klar zoniert zeigt sich das Zweibettzimmer. Küstenmotive und warme Materialien machen die Nähe zur Ostsee im Raum erlebbar. Foto: ppm GmbH / Cordula Feck</w:t>
      </w:r>
      <w:r>
        <w:rPr>
          <w:sz w:val="17"/>
          <w:szCs w:val="17"/>
        </w:rPr>
        <w:br/>
      </w:r>
    </w:p>
    <w:p w14:paraId="5DFE9928" w14:textId="77777777" w:rsidR="00A87D6C" w:rsidRDefault="000E42EC">
      <w:pPr>
        <w:spacing w:line="240" w:lineRule="auto"/>
        <w:rPr>
          <w:sz w:val="17"/>
          <w:szCs w:val="17"/>
        </w:rPr>
      </w:pPr>
      <w:r>
        <w:rPr>
          <w:b/>
          <w:sz w:val="17"/>
          <w:szCs w:val="17"/>
        </w:rPr>
        <w:t>4</w:t>
      </w:r>
      <w:r>
        <w:rPr>
          <w:sz w:val="17"/>
          <w:szCs w:val="17"/>
        </w:rPr>
        <w:t xml:space="preserve"> Maritime Muster setzen Akzente und geben dem Zimmer eine eigene Identität, ohne den Raum zu überfrachten. Passend dazu nehmen Häfele Möbelgriffe im „Bootslook“ die Atmosphäre auch haptisch auf. Foto: ppm GmbH / Cordula Feck</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A87D6C" w14:paraId="34FA6E04" w14:textId="77777777">
        <w:tc>
          <w:tcPr>
            <w:tcW w:w="2444" w:type="pct"/>
            <w:tcBorders>
              <w:top w:val="nil"/>
              <w:left w:val="nil"/>
              <w:bottom w:val="nil"/>
              <w:right w:val="nil"/>
            </w:tcBorders>
            <w:tcMar>
              <w:top w:w="0" w:type="dxa"/>
              <w:left w:w="0" w:type="dxa"/>
              <w:bottom w:w="0" w:type="dxa"/>
              <w:right w:w="0" w:type="dxa"/>
            </w:tcMar>
          </w:tcPr>
          <w:p w14:paraId="0B4681E7" w14:textId="77777777" w:rsidR="00A87D6C" w:rsidRDefault="000E42EC">
            <w:pPr>
              <w:keepNext/>
              <w:keepLines/>
              <w:spacing w:line="240" w:lineRule="auto"/>
              <w:rPr>
                <w:sz w:val="14"/>
                <w:szCs w:val="14"/>
              </w:rPr>
            </w:pPr>
            <w:r>
              <w:rPr>
                <w:sz w:val="14"/>
                <w:szCs w:val="14"/>
              </w:rPr>
              <w:t>1.</w:t>
            </w:r>
          </w:p>
        </w:tc>
        <w:tc>
          <w:tcPr>
            <w:tcW w:w="112" w:type="pct"/>
            <w:tcBorders>
              <w:top w:val="nil"/>
              <w:left w:val="nil"/>
              <w:bottom w:val="nil"/>
              <w:right w:val="nil"/>
            </w:tcBorders>
            <w:tcMar>
              <w:top w:w="0" w:type="dxa"/>
              <w:left w:w="0" w:type="dxa"/>
              <w:bottom w:w="0" w:type="dxa"/>
              <w:right w:w="0" w:type="dxa"/>
            </w:tcMar>
          </w:tcPr>
          <w:p w14:paraId="2AF243C0" w14:textId="77777777" w:rsidR="00A87D6C" w:rsidRDefault="00A87D6C">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2B1DE582" w14:textId="77777777" w:rsidR="00A87D6C" w:rsidRDefault="000E42EC">
            <w:pPr>
              <w:keepNext/>
              <w:keepLines/>
              <w:spacing w:line="240" w:lineRule="auto"/>
              <w:rPr>
                <w:sz w:val="14"/>
                <w:szCs w:val="14"/>
              </w:rPr>
            </w:pPr>
            <w:r>
              <w:rPr>
                <w:sz w:val="14"/>
                <w:szCs w:val="14"/>
              </w:rPr>
              <w:t>2.</w:t>
            </w:r>
          </w:p>
        </w:tc>
      </w:tr>
      <w:tr w:rsidR="00A87D6C" w14:paraId="3FBE8C34"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065B555D" w14:textId="77777777" w:rsidR="00A87D6C" w:rsidRDefault="000E42EC">
            <w:pPr>
              <w:keepNext/>
              <w:keepLines/>
              <w:spacing w:line="240" w:lineRule="auto"/>
              <w:rPr>
                <w:sz w:val="14"/>
                <w:szCs w:val="14"/>
              </w:rPr>
            </w:pPr>
            <w:r>
              <w:rPr>
                <w:noProof/>
                <w:sz w:val="14"/>
                <w:szCs w:val="14"/>
              </w:rPr>
              <w:drawing>
                <wp:inline distT="0" distB="0" distL="0" distR="0" wp14:anchorId="0B3A1AE4" wp14:editId="4F266309">
                  <wp:extent cx="3020060"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8"/>
                          <a:srcRect/>
                          <a:stretch>
                            <a:fillRect/>
                          </a:stretch>
                        </pic:blipFill>
                        <pic:spPr>
                          <a:xfrm>
                            <a:off x="0" y="0"/>
                            <a:ext cx="3020060" cy="201422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14:paraId="78E69651" w14:textId="77777777" w:rsidR="00A87D6C" w:rsidRDefault="00A87D6C">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412190D8" w14:textId="77777777" w:rsidR="00A87D6C" w:rsidRDefault="000E42EC">
            <w:pPr>
              <w:keepNext/>
              <w:keepLines/>
              <w:spacing w:line="240" w:lineRule="auto"/>
              <w:rPr>
                <w:sz w:val="14"/>
                <w:szCs w:val="14"/>
              </w:rPr>
            </w:pPr>
            <w:r>
              <w:rPr>
                <w:noProof/>
                <w:sz w:val="14"/>
                <w:szCs w:val="14"/>
              </w:rPr>
              <w:drawing>
                <wp:inline distT="0" distB="0" distL="0" distR="0" wp14:anchorId="0EB231AE" wp14:editId="652898C8">
                  <wp:extent cx="3020060"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9"/>
                          <a:srcRect/>
                          <a:stretch>
                            <a:fillRect/>
                          </a:stretch>
                        </pic:blipFill>
                        <pic:spPr>
                          <a:xfrm>
                            <a:off x="0" y="0"/>
                            <a:ext cx="3020060" cy="2014220"/>
                          </a:xfrm>
                          <a:prstGeom prst="rect">
                            <a:avLst/>
                          </a:prstGeom>
                        </pic:spPr>
                      </pic:pic>
                    </a:graphicData>
                  </a:graphic>
                </wp:inline>
              </w:drawing>
            </w:r>
          </w:p>
        </w:tc>
      </w:tr>
      <w:tr w:rsidR="00A87D6C" w14:paraId="45C51F62" w14:textId="77777777">
        <w:tc>
          <w:tcPr>
            <w:tcW w:w="2444" w:type="pct"/>
            <w:tcBorders>
              <w:top w:val="nil"/>
              <w:left w:val="nil"/>
              <w:bottom w:val="nil"/>
              <w:right w:val="nil"/>
            </w:tcBorders>
            <w:tcMar>
              <w:top w:w="0" w:type="dxa"/>
              <w:left w:w="0" w:type="dxa"/>
              <w:bottom w:w="0" w:type="dxa"/>
              <w:right w:w="0" w:type="dxa"/>
            </w:tcMar>
          </w:tcPr>
          <w:p w14:paraId="0C1589A6" w14:textId="77777777" w:rsidR="00A87D6C" w:rsidRDefault="00A87D6C">
            <w:pPr>
              <w:keepNext/>
              <w:keepLines/>
              <w:spacing w:line="240" w:lineRule="auto"/>
              <w:rPr>
                <w:sz w:val="14"/>
                <w:szCs w:val="14"/>
              </w:rPr>
            </w:pPr>
          </w:p>
        </w:tc>
        <w:tc>
          <w:tcPr>
            <w:tcW w:w="112" w:type="pct"/>
            <w:tcBorders>
              <w:top w:val="nil"/>
              <w:left w:val="nil"/>
              <w:bottom w:val="nil"/>
              <w:right w:val="nil"/>
            </w:tcBorders>
            <w:tcMar>
              <w:top w:w="0" w:type="dxa"/>
              <w:left w:w="0" w:type="dxa"/>
              <w:bottom w:w="0" w:type="dxa"/>
              <w:right w:w="0" w:type="dxa"/>
            </w:tcMar>
          </w:tcPr>
          <w:p w14:paraId="314E6838" w14:textId="77777777" w:rsidR="00A87D6C" w:rsidRDefault="00A87D6C">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2800E7B0" w14:textId="77777777" w:rsidR="00A87D6C" w:rsidRDefault="00A87D6C">
            <w:pPr>
              <w:keepNext/>
              <w:keepLines/>
              <w:spacing w:line="240" w:lineRule="auto"/>
              <w:rPr>
                <w:sz w:val="14"/>
                <w:szCs w:val="14"/>
              </w:rPr>
            </w:pPr>
          </w:p>
        </w:tc>
      </w:tr>
      <w:tr w:rsidR="00A87D6C" w14:paraId="2F36D399" w14:textId="77777777">
        <w:tc>
          <w:tcPr>
            <w:tcW w:w="2444" w:type="pct"/>
            <w:tcBorders>
              <w:top w:val="nil"/>
              <w:left w:val="nil"/>
              <w:bottom w:val="nil"/>
              <w:right w:val="nil"/>
            </w:tcBorders>
            <w:tcMar>
              <w:top w:w="0" w:type="dxa"/>
              <w:left w:w="0" w:type="dxa"/>
              <w:bottom w:w="0" w:type="dxa"/>
              <w:right w:w="0" w:type="dxa"/>
            </w:tcMar>
          </w:tcPr>
          <w:p w14:paraId="3651C147" w14:textId="77777777" w:rsidR="00A87D6C" w:rsidRDefault="000E42EC">
            <w:pPr>
              <w:keepNext/>
              <w:keepLines/>
              <w:spacing w:line="240" w:lineRule="auto"/>
              <w:rPr>
                <w:sz w:val="14"/>
                <w:szCs w:val="14"/>
              </w:rPr>
            </w:pPr>
            <w:r>
              <w:rPr>
                <w:sz w:val="14"/>
                <w:szCs w:val="14"/>
              </w:rPr>
              <w:t>3.</w:t>
            </w:r>
          </w:p>
        </w:tc>
        <w:tc>
          <w:tcPr>
            <w:tcW w:w="112" w:type="pct"/>
            <w:tcBorders>
              <w:top w:val="nil"/>
              <w:left w:val="nil"/>
              <w:bottom w:val="nil"/>
              <w:right w:val="nil"/>
            </w:tcBorders>
            <w:tcMar>
              <w:top w:w="0" w:type="dxa"/>
              <w:left w:w="0" w:type="dxa"/>
              <w:bottom w:w="0" w:type="dxa"/>
              <w:right w:w="0" w:type="dxa"/>
            </w:tcMar>
          </w:tcPr>
          <w:p w14:paraId="79708FFD" w14:textId="77777777" w:rsidR="00A87D6C" w:rsidRDefault="00A87D6C">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6E50DCE3" w14:textId="77777777" w:rsidR="00A87D6C" w:rsidRDefault="000E42EC">
            <w:pPr>
              <w:keepNext/>
              <w:keepLines/>
              <w:spacing w:line="240" w:lineRule="auto"/>
              <w:rPr>
                <w:sz w:val="14"/>
                <w:szCs w:val="14"/>
              </w:rPr>
            </w:pPr>
            <w:r>
              <w:rPr>
                <w:sz w:val="14"/>
                <w:szCs w:val="14"/>
              </w:rPr>
              <w:t>4.</w:t>
            </w:r>
          </w:p>
        </w:tc>
      </w:tr>
      <w:tr w:rsidR="00A87D6C" w14:paraId="31697C56"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6560540B" w14:textId="77777777" w:rsidR="00A87D6C" w:rsidRDefault="000E42EC">
            <w:pPr>
              <w:keepNext/>
              <w:keepLines/>
              <w:spacing w:line="240" w:lineRule="auto"/>
              <w:rPr>
                <w:sz w:val="14"/>
                <w:szCs w:val="14"/>
              </w:rPr>
            </w:pPr>
            <w:r>
              <w:rPr>
                <w:noProof/>
                <w:sz w:val="14"/>
                <w:szCs w:val="14"/>
              </w:rPr>
              <w:drawing>
                <wp:inline distT="0" distB="0" distL="0" distR="0" wp14:anchorId="617A0FD0" wp14:editId="22BD92A1">
                  <wp:extent cx="3020060"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10"/>
                          <a:srcRect/>
                          <a:stretch>
                            <a:fillRect/>
                          </a:stretch>
                        </pic:blipFill>
                        <pic:spPr>
                          <a:xfrm>
                            <a:off x="0" y="0"/>
                            <a:ext cx="3020060" cy="201422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14:paraId="3B85246E" w14:textId="77777777" w:rsidR="00A87D6C" w:rsidRDefault="00A87D6C">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7DD36227" w14:textId="77777777" w:rsidR="00A87D6C" w:rsidRDefault="000E42EC">
            <w:pPr>
              <w:keepNext/>
              <w:keepLines/>
              <w:spacing w:line="240" w:lineRule="auto"/>
              <w:rPr>
                <w:sz w:val="14"/>
                <w:szCs w:val="14"/>
              </w:rPr>
            </w:pPr>
            <w:r>
              <w:rPr>
                <w:noProof/>
                <w:sz w:val="14"/>
                <w:szCs w:val="14"/>
              </w:rPr>
              <w:drawing>
                <wp:inline distT="0" distB="0" distL="0" distR="0" wp14:anchorId="5DAEEBD3" wp14:editId="1A99E67B">
                  <wp:extent cx="3020060"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1"/>
                          <a:srcRect/>
                          <a:stretch>
                            <a:fillRect/>
                          </a:stretch>
                        </pic:blipFill>
                        <pic:spPr>
                          <a:xfrm>
                            <a:off x="0" y="0"/>
                            <a:ext cx="3020060" cy="2014220"/>
                          </a:xfrm>
                          <a:prstGeom prst="rect">
                            <a:avLst/>
                          </a:prstGeom>
                        </pic:spPr>
                      </pic:pic>
                    </a:graphicData>
                  </a:graphic>
                </wp:inline>
              </w:drawing>
            </w:r>
          </w:p>
        </w:tc>
      </w:tr>
    </w:tbl>
    <w:p w14:paraId="36D3C6FC" w14:textId="77777777" w:rsidR="00A87D6C" w:rsidRDefault="000E42EC">
      <w:pPr>
        <w:spacing w:line="240" w:lineRule="auto"/>
      </w:pPr>
      <w:r>
        <w:br w:type="page"/>
      </w:r>
    </w:p>
    <w:p w14:paraId="75857FEB" w14:textId="77777777" w:rsidR="00A87D6C" w:rsidRDefault="000E42EC">
      <w:pPr>
        <w:spacing w:line="240" w:lineRule="auto"/>
        <w:rPr>
          <w:sz w:val="17"/>
          <w:szCs w:val="17"/>
        </w:rPr>
      </w:pPr>
      <w:r>
        <w:rPr>
          <w:b/>
          <w:sz w:val="17"/>
          <w:szCs w:val="17"/>
        </w:rPr>
        <w:lastRenderedPageBreak/>
        <w:t>5</w:t>
      </w:r>
      <w:r>
        <w:rPr>
          <w:sz w:val="17"/>
          <w:szCs w:val="17"/>
        </w:rPr>
        <w:t xml:space="preserve"> Der </w:t>
      </w:r>
      <w:proofErr w:type="spellStart"/>
      <w:r>
        <w:rPr>
          <w:sz w:val="17"/>
          <w:szCs w:val="17"/>
        </w:rPr>
        <w:t>Aquasys</w:t>
      </w:r>
      <w:proofErr w:type="spellEnd"/>
      <w:r>
        <w:rPr>
          <w:sz w:val="17"/>
          <w:szCs w:val="17"/>
        </w:rPr>
        <w:t xml:space="preserve"> Spiegel von Häfele im Format 600 x 900 mm sorgt am Waschtisch des Sanitärbereiches für gleichmäßige Ausleuchtung und unterstützt Orientierung und Sicherheit. Foto: ppm GmbH / Cordula Feck</w:t>
      </w:r>
      <w:r>
        <w:rPr>
          <w:sz w:val="17"/>
          <w:szCs w:val="17"/>
        </w:rPr>
        <w:br/>
      </w:r>
    </w:p>
    <w:p w14:paraId="1D895A6D" w14:textId="77777777" w:rsidR="00A87D6C" w:rsidRDefault="000E42EC">
      <w:pPr>
        <w:spacing w:line="240" w:lineRule="auto"/>
        <w:rPr>
          <w:sz w:val="17"/>
          <w:szCs w:val="17"/>
        </w:rPr>
      </w:pPr>
      <w:r>
        <w:rPr>
          <w:b/>
          <w:sz w:val="17"/>
          <w:szCs w:val="17"/>
        </w:rPr>
        <w:t>6</w:t>
      </w:r>
      <w:r>
        <w:rPr>
          <w:sz w:val="17"/>
          <w:szCs w:val="17"/>
        </w:rPr>
        <w:t xml:space="preserve"> Pflegestützpunkt als funktionales Zentrum mit offenen Sichtachsen und ruhigen Farbtönen. Häfele Möbelbeschläge halten die Einbauten im Dauerbetrieb zuverlässig und leicht bedienbar. Foto: ppm GmbH / Cordula Feck</w:t>
      </w:r>
      <w:r>
        <w:rPr>
          <w:sz w:val="17"/>
          <w:szCs w:val="17"/>
        </w:rPr>
        <w:br/>
      </w:r>
    </w:p>
    <w:p w14:paraId="395ECB69" w14:textId="77777777" w:rsidR="00A87D6C" w:rsidRDefault="000E42EC">
      <w:pPr>
        <w:spacing w:line="240" w:lineRule="auto"/>
        <w:rPr>
          <w:sz w:val="17"/>
          <w:szCs w:val="17"/>
        </w:rPr>
      </w:pPr>
      <w:r>
        <w:rPr>
          <w:b/>
          <w:sz w:val="17"/>
          <w:szCs w:val="17"/>
        </w:rPr>
        <w:t>7</w:t>
      </w:r>
      <w:r>
        <w:rPr>
          <w:sz w:val="17"/>
          <w:szCs w:val="17"/>
        </w:rPr>
        <w:t xml:space="preserve"> Der Arbeitsbereich wirkt mit klaren Linien und blaugrünen Flächen, die an Wasser und Küste erinnern, ruhig und strukturiert, während Häfele Möbelbeschläge in den Schrank- und Thekeneinbauten stabile Funktion im täglichen Handling sichern. Foto: ppm GmbH / Cordula Feck</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A87D6C" w14:paraId="6CC714A6" w14:textId="77777777">
        <w:tc>
          <w:tcPr>
            <w:tcW w:w="2444" w:type="pct"/>
            <w:tcBorders>
              <w:top w:val="nil"/>
              <w:left w:val="nil"/>
              <w:bottom w:val="nil"/>
              <w:right w:val="nil"/>
            </w:tcBorders>
            <w:tcMar>
              <w:top w:w="0" w:type="dxa"/>
              <w:left w:w="0" w:type="dxa"/>
              <w:bottom w:w="0" w:type="dxa"/>
              <w:right w:w="0" w:type="dxa"/>
            </w:tcMar>
          </w:tcPr>
          <w:p w14:paraId="04AE3D63" w14:textId="77777777" w:rsidR="00A87D6C" w:rsidRDefault="000E42EC">
            <w:pPr>
              <w:keepNext/>
              <w:keepLines/>
              <w:spacing w:line="240" w:lineRule="auto"/>
              <w:rPr>
                <w:sz w:val="14"/>
                <w:szCs w:val="14"/>
              </w:rPr>
            </w:pPr>
            <w:r>
              <w:rPr>
                <w:sz w:val="14"/>
                <w:szCs w:val="14"/>
              </w:rPr>
              <w:t>5.</w:t>
            </w:r>
          </w:p>
        </w:tc>
        <w:tc>
          <w:tcPr>
            <w:tcW w:w="112" w:type="pct"/>
            <w:tcBorders>
              <w:top w:val="nil"/>
              <w:left w:val="nil"/>
              <w:bottom w:val="nil"/>
              <w:right w:val="nil"/>
            </w:tcBorders>
            <w:tcMar>
              <w:top w:w="0" w:type="dxa"/>
              <w:left w:w="0" w:type="dxa"/>
              <w:bottom w:w="0" w:type="dxa"/>
              <w:right w:w="0" w:type="dxa"/>
            </w:tcMar>
          </w:tcPr>
          <w:p w14:paraId="2B75A1F5" w14:textId="77777777" w:rsidR="00A87D6C" w:rsidRDefault="00A87D6C">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5AD3072C" w14:textId="77777777" w:rsidR="00A87D6C" w:rsidRDefault="000E42EC">
            <w:pPr>
              <w:keepNext/>
              <w:keepLines/>
              <w:spacing w:line="240" w:lineRule="auto"/>
              <w:rPr>
                <w:sz w:val="14"/>
                <w:szCs w:val="14"/>
              </w:rPr>
            </w:pPr>
            <w:r>
              <w:rPr>
                <w:sz w:val="14"/>
                <w:szCs w:val="14"/>
              </w:rPr>
              <w:t>6.</w:t>
            </w:r>
          </w:p>
        </w:tc>
      </w:tr>
      <w:tr w:rsidR="00A87D6C" w14:paraId="062D234E"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2C701333" w14:textId="77777777" w:rsidR="00A87D6C" w:rsidRDefault="000E42EC">
            <w:pPr>
              <w:keepNext/>
              <w:keepLines/>
              <w:spacing w:line="240" w:lineRule="auto"/>
              <w:rPr>
                <w:sz w:val="14"/>
                <w:szCs w:val="14"/>
              </w:rPr>
            </w:pPr>
            <w:r>
              <w:rPr>
                <w:noProof/>
                <w:sz w:val="14"/>
                <w:szCs w:val="14"/>
              </w:rPr>
              <w:drawing>
                <wp:inline distT="0" distB="0" distL="0" distR="0" wp14:anchorId="1D2BB495" wp14:editId="30BB7EF0">
                  <wp:extent cx="3023235" cy="20142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2"/>
                          <a:srcRect/>
                          <a:stretch>
                            <a:fillRect/>
                          </a:stretch>
                        </pic:blipFill>
                        <pic:spPr>
                          <a:xfrm>
                            <a:off x="0" y="0"/>
                            <a:ext cx="3023235" cy="201422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14:paraId="629D5EC5" w14:textId="77777777" w:rsidR="00A87D6C" w:rsidRDefault="00A87D6C">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4A49A433" w14:textId="77777777" w:rsidR="00A87D6C" w:rsidRDefault="000E42EC">
            <w:pPr>
              <w:keepNext/>
              <w:keepLines/>
              <w:spacing w:line="240" w:lineRule="auto"/>
              <w:rPr>
                <w:sz w:val="14"/>
                <w:szCs w:val="14"/>
              </w:rPr>
            </w:pPr>
            <w:r>
              <w:rPr>
                <w:noProof/>
                <w:sz w:val="14"/>
                <w:szCs w:val="14"/>
              </w:rPr>
              <w:drawing>
                <wp:inline distT="0" distB="0" distL="0" distR="0" wp14:anchorId="2401899E" wp14:editId="6A09305D">
                  <wp:extent cx="3020060" cy="201422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r:embed="rId13"/>
                          <a:srcRect/>
                          <a:stretch>
                            <a:fillRect/>
                          </a:stretch>
                        </pic:blipFill>
                        <pic:spPr>
                          <a:xfrm>
                            <a:off x="0" y="0"/>
                            <a:ext cx="3020060" cy="2014220"/>
                          </a:xfrm>
                          <a:prstGeom prst="rect">
                            <a:avLst/>
                          </a:prstGeom>
                        </pic:spPr>
                      </pic:pic>
                    </a:graphicData>
                  </a:graphic>
                </wp:inline>
              </w:drawing>
            </w:r>
          </w:p>
        </w:tc>
      </w:tr>
      <w:tr w:rsidR="00A87D6C" w14:paraId="724240D5" w14:textId="77777777">
        <w:tc>
          <w:tcPr>
            <w:tcW w:w="2444" w:type="pct"/>
            <w:tcBorders>
              <w:top w:val="nil"/>
              <w:left w:val="nil"/>
              <w:bottom w:val="nil"/>
              <w:right w:val="nil"/>
            </w:tcBorders>
            <w:tcMar>
              <w:top w:w="0" w:type="dxa"/>
              <w:left w:w="0" w:type="dxa"/>
              <w:bottom w:w="0" w:type="dxa"/>
              <w:right w:w="0" w:type="dxa"/>
            </w:tcMar>
          </w:tcPr>
          <w:p w14:paraId="0CB01499" w14:textId="77777777" w:rsidR="00A87D6C" w:rsidRDefault="00A87D6C">
            <w:pPr>
              <w:keepNext/>
              <w:keepLines/>
              <w:spacing w:line="240" w:lineRule="auto"/>
              <w:rPr>
                <w:sz w:val="14"/>
                <w:szCs w:val="14"/>
              </w:rPr>
            </w:pPr>
          </w:p>
        </w:tc>
        <w:tc>
          <w:tcPr>
            <w:tcW w:w="112" w:type="pct"/>
            <w:tcBorders>
              <w:top w:val="nil"/>
              <w:left w:val="nil"/>
              <w:bottom w:val="nil"/>
              <w:right w:val="nil"/>
            </w:tcBorders>
            <w:tcMar>
              <w:top w:w="0" w:type="dxa"/>
              <w:left w:w="0" w:type="dxa"/>
              <w:bottom w:w="0" w:type="dxa"/>
              <w:right w:w="0" w:type="dxa"/>
            </w:tcMar>
          </w:tcPr>
          <w:p w14:paraId="5A12D9F8" w14:textId="77777777" w:rsidR="00A87D6C" w:rsidRDefault="00A87D6C">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2040D543" w14:textId="77777777" w:rsidR="00A87D6C" w:rsidRDefault="00A87D6C">
            <w:pPr>
              <w:keepNext/>
              <w:keepLines/>
              <w:spacing w:line="240" w:lineRule="auto"/>
              <w:rPr>
                <w:sz w:val="14"/>
                <w:szCs w:val="14"/>
              </w:rPr>
            </w:pPr>
          </w:p>
        </w:tc>
      </w:tr>
      <w:tr w:rsidR="00A87D6C" w14:paraId="1E965FBA" w14:textId="77777777">
        <w:tc>
          <w:tcPr>
            <w:tcW w:w="2444" w:type="pct"/>
            <w:tcBorders>
              <w:top w:val="nil"/>
              <w:left w:val="nil"/>
              <w:bottom w:val="nil"/>
              <w:right w:val="nil"/>
            </w:tcBorders>
            <w:tcMar>
              <w:top w:w="0" w:type="dxa"/>
              <w:left w:w="0" w:type="dxa"/>
              <w:bottom w:w="0" w:type="dxa"/>
              <w:right w:w="0" w:type="dxa"/>
            </w:tcMar>
          </w:tcPr>
          <w:p w14:paraId="72BE0EE2" w14:textId="77777777" w:rsidR="00A87D6C" w:rsidRDefault="000E42EC">
            <w:pPr>
              <w:keepNext/>
              <w:keepLines/>
              <w:spacing w:line="240" w:lineRule="auto"/>
              <w:rPr>
                <w:sz w:val="14"/>
                <w:szCs w:val="14"/>
              </w:rPr>
            </w:pPr>
            <w:r>
              <w:rPr>
                <w:sz w:val="14"/>
                <w:szCs w:val="14"/>
              </w:rPr>
              <w:t>7.</w:t>
            </w:r>
          </w:p>
        </w:tc>
        <w:tc>
          <w:tcPr>
            <w:tcW w:w="112" w:type="pct"/>
            <w:tcBorders>
              <w:top w:val="nil"/>
              <w:left w:val="nil"/>
              <w:bottom w:val="nil"/>
              <w:right w:val="nil"/>
            </w:tcBorders>
            <w:tcMar>
              <w:top w:w="0" w:type="dxa"/>
              <w:left w:w="0" w:type="dxa"/>
              <w:bottom w:w="0" w:type="dxa"/>
              <w:right w:w="0" w:type="dxa"/>
            </w:tcMar>
          </w:tcPr>
          <w:p w14:paraId="004DD656" w14:textId="77777777" w:rsidR="00A87D6C" w:rsidRDefault="00A87D6C">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452459D0" w14:textId="77777777" w:rsidR="00A87D6C" w:rsidRDefault="00A87D6C">
            <w:pPr>
              <w:keepNext/>
              <w:keepLines/>
              <w:spacing w:line="240" w:lineRule="auto"/>
              <w:rPr>
                <w:sz w:val="14"/>
                <w:szCs w:val="14"/>
              </w:rPr>
            </w:pPr>
          </w:p>
        </w:tc>
      </w:tr>
      <w:tr w:rsidR="00A87D6C" w14:paraId="0FAB6FEC"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09E3184C" w14:textId="77777777" w:rsidR="00A87D6C" w:rsidRDefault="000E42EC">
            <w:pPr>
              <w:keepNext/>
              <w:keepLines/>
              <w:spacing w:line="240" w:lineRule="auto"/>
              <w:rPr>
                <w:sz w:val="14"/>
                <w:szCs w:val="14"/>
              </w:rPr>
            </w:pPr>
            <w:r>
              <w:rPr>
                <w:noProof/>
                <w:sz w:val="14"/>
                <w:szCs w:val="14"/>
              </w:rPr>
              <w:drawing>
                <wp:inline distT="0" distB="0" distL="0" distR="0" wp14:anchorId="7D9141F0" wp14:editId="489B9271">
                  <wp:extent cx="3023235" cy="201422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dpi="0">
                          <a:blip r:embed="rId14"/>
                          <a:srcRect/>
                          <a:stretch>
                            <a:fillRect/>
                          </a:stretch>
                        </pic:blipFill>
                        <pic:spPr>
                          <a:xfrm>
                            <a:off x="0" y="0"/>
                            <a:ext cx="3023235" cy="201422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14:paraId="6827D826" w14:textId="77777777" w:rsidR="00A87D6C" w:rsidRDefault="00A87D6C">
            <w:pPr>
              <w:keepNext/>
              <w:keepLines/>
              <w:spacing w:line="240" w:lineRule="auto"/>
              <w:rPr>
                <w:sz w:val="17"/>
                <w:szCs w:val="17"/>
              </w:rPr>
            </w:pPr>
          </w:p>
        </w:tc>
        <w:tc>
          <w:tcPr>
            <w:tcW w:w="2444" w:type="pct"/>
            <w:tcBorders>
              <w:top w:val="nil"/>
              <w:left w:val="nil"/>
              <w:bottom w:val="nil"/>
              <w:right w:val="nil"/>
            </w:tcBorders>
            <w:tcMar>
              <w:top w:w="0" w:type="dxa"/>
              <w:left w:w="0" w:type="dxa"/>
              <w:bottom w:w="0" w:type="dxa"/>
              <w:right w:w="0" w:type="dxa"/>
            </w:tcMar>
          </w:tcPr>
          <w:p w14:paraId="5B9C2104" w14:textId="77777777" w:rsidR="00A87D6C" w:rsidRDefault="00A87D6C">
            <w:pPr>
              <w:keepNext/>
              <w:keepLines/>
              <w:spacing w:line="240" w:lineRule="auto"/>
              <w:rPr>
                <w:sz w:val="17"/>
                <w:szCs w:val="17"/>
              </w:rPr>
            </w:pPr>
          </w:p>
        </w:tc>
      </w:tr>
    </w:tbl>
    <w:p w14:paraId="3EF15F91" w14:textId="77777777" w:rsidR="00A87D6C" w:rsidRDefault="000E42EC">
      <w:pPr>
        <w:spacing w:line="240"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A87D6C" w14:paraId="11B3A4F1" w14:textId="77777777">
        <w:tc>
          <w:tcPr>
            <w:tcW w:w="3500" w:type="pct"/>
            <w:gridSpan w:val="2"/>
            <w:tcBorders>
              <w:top w:val="nil"/>
              <w:left w:val="nil"/>
              <w:bottom w:val="nil"/>
              <w:right w:val="nil"/>
            </w:tcBorders>
            <w:tcMar>
              <w:top w:w="0" w:type="dxa"/>
              <w:left w:w="0" w:type="dxa"/>
              <w:bottom w:w="0" w:type="dxa"/>
              <w:right w:w="227" w:type="dxa"/>
            </w:tcMar>
          </w:tcPr>
          <w:p w14:paraId="4CEC054F" w14:textId="77777777" w:rsidR="00A87D6C" w:rsidRPr="003A33B5" w:rsidRDefault="000E42EC">
            <w:pPr>
              <w:spacing w:before="240" w:after="240"/>
              <w:rPr>
                <w:sz w:val="20"/>
                <w:szCs w:val="20"/>
                <w:lang w:val="en-GB"/>
              </w:rPr>
            </w:pPr>
            <w:proofErr w:type="spellStart"/>
            <w:r w:rsidRPr="003A33B5">
              <w:rPr>
                <w:b/>
                <w:sz w:val="20"/>
                <w:szCs w:val="20"/>
                <w:lang w:val="en-GB"/>
              </w:rPr>
              <w:lastRenderedPageBreak/>
              <w:t>Über</w:t>
            </w:r>
            <w:proofErr w:type="spellEnd"/>
            <w:r w:rsidRPr="003A33B5">
              <w:rPr>
                <w:b/>
                <w:sz w:val="20"/>
                <w:szCs w:val="20"/>
                <w:lang w:val="en-GB"/>
              </w:rPr>
              <w:t xml:space="preserve"> </w:t>
            </w:r>
            <w:proofErr w:type="spellStart"/>
            <w:r w:rsidRPr="003A33B5">
              <w:rPr>
                <w:b/>
                <w:sz w:val="20"/>
                <w:szCs w:val="20"/>
                <w:lang w:val="en-GB"/>
              </w:rPr>
              <w:t>Häfele</w:t>
            </w:r>
            <w:proofErr w:type="spellEnd"/>
          </w:p>
          <w:p w14:paraId="1594740E" w14:textId="77777777" w:rsidR="00A87D6C" w:rsidRDefault="000E42EC">
            <w:pPr>
              <w:spacing w:before="240" w:after="240"/>
              <w:rPr>
                <w:sz w:val="20"/>
                <w:szCs w:val="20"/>
              </w:rPr>
            </w:pPr>
            <w:r w:rsidRPr="003A33B5">
              <w:rPr>
                <w:b/>
                <w:sz w:val="20"/>
                <w:szCs w:val="20"/>
                <w:lang w:val="en-GB"/>
              </w:rPr>
              <w:t xml:space="preserve">Maximising the value of space. </w:t>
            </w:r>
            <w:proofErr w:type="spellStart"/>
            <w:r>
              <w:rPr>
                <w:b/>
                <w:sz w:val="20"/>
                <w:szCs w:val="20"/>
              </w:rPr>
              <w:t>Together</w:t>
            </w:r>
            <w:proofErr w:type="spellEnd"/>
            <w:r>
              <w:rPr>
                <w:b/>
                <w:sz w:val="20"/>
                <w:szCs w:val="20"/>
              </w:rPr>
              <w:t>.</w:t>
            </w:r>
          </w:p>
          <w:p w14:paraId="7B34F414" w14:textId="77777777" w:rsidR="00A87D6C" w:rsidRDefault="000E42EC">
            <w:pPr>
              <w:spacing w:before="240" w:after="240"/>
              <w:rPr>
                <w:sz w:val="20"/>
                <w:szCs w:val="20"/>
              </w:rPr>
            </w:pPr>
            <w:r>
              <w:rPr>
                <w:sz w:val="20"/>
                <w:szCs w:val="20"/>
              </w:rPr>
              <w:t>Lebenswerte, nachhaltige Raumkonzepte für die Wohn- und Arbeitswelten von morgen zu entwickeln, diesem Ziel hat sich Häfele verschrieben. Gemeinsam mit seinen Partnern schafft Häfele ressourcenschonende, multifunktionale Lösungen bei höchstem Komfort.</w:t>
            </w:r>
          </w:p>
          <w:p w14:paraId="3984AFE8" w14:textId="77777777" w:rsidR="00A87D6C" w:rsidRDefault="000E42EC">
            <w:pPr>
              <w:spacing w:before="240" w:after="240"/>
              <w:rPr>
                <w:sz w:val="20"/>
                <w:szCs w:val="20"/>
              </w:rPr>
            </w:pPr>
            <w:r>
              <w:rPr>
                <w:sz w:val="20"/>
                <w:szCs w:val="20"/>
              </w:rPr>
              <w:t>Der 1923 gegründete, global agierende Spezialist für intelligente Beschlagtechnik, elektronische Schließsysteme sowie Beleuchtung und Vernetzung bietet seinen Kunden aus über 150 Ländern eine einzigartige 360°-Kompetenz. Mit einem umfassenden Produktsortiment, zahlreichen Serviceleistungen und viel Innovationsgeist steht das Familienunternehmen seinen Partnern aus Handwerk, Möbelindustrie, Handel und Architektur als verlässlicher Partner zur Seite - von der Ideenfindung über die Planung bis zur Umsetzung ih</w:t>
            </w:r>
            <w:r>
              <w:rPr>
                <w:sz w:val="20"/>
                <w:szCs w:val="20"/>
              </w:rPr>
              <w:t>rer Projekte.</w:t>
            </w:r>
          </w:p>
          <w:p w14:paraId="325D2EE0" w14:textId="77777777" w:rsidR="00A87D6C" w:rsidRDefault="000E42EC">
            <w:pPr>
              <w:spacing w:before="240" w:after="240"/>
              <w:rPr>
                <w:sz w:val="20"/>
                <w:szCs w:val="20"/>
              </w:rPr>
            </w:pPr>
            <w:r>
              <w:rPr>
                <w:sz w:val="20"/>
                <w:szCs w:val="20"/>
              </w:rPr>
              <w:t>Über 8.000 Mitarbeitende sowie 39 Tochterunternehmen und zahlreiche weitere Vertretungen in aller Welt bilden das Team des Global Players mit Hauptsitz in Nagold im Schwarzwald. Die Unternehmensgruppe wird seit Januar 2023 von Gregor Riekena geführt. Sibylle Thierer ist Vorsitzende des Verwaltungsrats und Gesellschafterin des 100%igen Familienunternehmens. Im Geschäftsjahr 2025 erzielte die Häfele Gruppe einen Umsatz von 1,72 Mrd. Euro bei einem Exportanteil von 82%.</w:t>
            </w:r>
          </w:p>
          <w:p w14:paraId="3BDC07D0" w14:textId="77777777" w:rsidR="00A87D6C" w:rsidRDefault="000E42EC">
            <w:pPr>
              <w:spacing w:before="240" w:after="240"/>
              <w:rPr>
                <w:sz w:val="20"/>
                <w:szCs w:val="20"/>
              </w:rPr>
            </w:pPr>
            <w:r>
              <w:rPr>
                <w:sz w:val="20"/>
                <w:szCs w:val="20"/>
              </w:rPr>
              <w:t xml:space="preserve">Weitere Informationen unter </w:t>
            </w:r>
            <w:hyperlink r:id="rId15">
              <w:r>
                <w:rPr>
                  <w:rStyle w:val="Hyperlink"/>
                  <w:color w:val="000000"/>
                  <w:sz w:val="20"/>
                  <w:szCs w:val="20"/>
                </w:rPr>
                <w:t>www.haefele.de</w:t>
              </w:r>
            </w:hyperlink>
          </w:p>
          <w:p w14:paraId="0324987F" w14:textId="77777777" w:rsidR="00A87D6C" w:rsidRDefault="000E42EC">
            <w:pPr>
              <w:rPr>
                <w:sz w:val="20"/>
                <w:szCs w:val="20"/>
              </w:rPr>
            </w:pPr>
            <w:r>
              <w:rPr>
                <w:sz w:val="20"/>
                <w:szCs w:val="20"/>
              </w:rPr>
              <w:br/>
            </w:r>
          </w:p>
        </w:tc>
        <w:tc>
          <w:tcPr>
            <w:tcW w:w="1500" w:type="pct"/>
            <w:tcBorders>
              <w:top w:val="nil"/>
              <w:left w:val="nil"/>
              <w:bottom w:val="nil"/>
              <w:right w:val="nil"/>
            </w:tcBorders>
            <w:tcMar>
              <w:top w:w="0" w:type="dxa"/>
              <w:left w:w="0" w:type="dxa"/>
              <w:bottom w:w="0" w:type="dxa"/>
              <w:right w:w="227" w:type="dxa"/>
            </w:tcMar>
          </w:tcPr>
          <w:p w14:paraId="2DFB0320" w14:textId="77777777" w:rsidR="00A87D6C" w:rsidRDefault="000E42EC">
            <w:pPr>
              <w:rPr>
                <w:sz w:val="20"/>
                <w:szCs w:val="20"/>
              </w:rPr>
            </w:pPr>
            <w:r>
              <w:rPr>
                <w:sz w:val="20"/>
                <w:szCs w:val="20"/>
              </w:rPr>
              <w:br/>
            </w:r>
          </w:p>
        </w:tc>
      </w:tr>
      <w:tr w:rsidR="00A87D6C" w14:paraId="36D87EB1" w14:textId="77777777">
        <w:trPr>
          <w:gridAfter w:val="1"/>
          <w:wAfter w:w="2160" w:type="dxa"/>
        </w:trPr>
        <w:tc>
          <w:tcPr>
            <w:tcW w:w="2520" w:type="dxa"/>
            <w:tcBorders>
              <w:top w:val="nil"/>
              <w:left w:val="nil"/>
              <w:bottom w:val="nil"/>
              <w:right w:val="nil"/>
            </w:tcBorders>
            <w:tcMar>
              <w:top w:w="0" w:type="dxa"/>
              <w:left w:w="0" w:type="dxa"/>
              <w:bottom w:w="0" w:type="dxa"/>
              <w:right w:w="227" w:type="dxa"/>
            </w:tcMar>
          </w:tcPr>
          <w:p w14:paraId="33CB7284" w14:textId="77777777" w:rsidR="00A87D6C" w:rsidRDefault="00A87D6C">
            <w:pPr>
              <w:rPr>
                <w:sz w:val="20"/>
                <w:szCs w:val="20"/>
              </w:rPr>
            </w:pPr>
          </w:p>
        </w:tc>
        <w:tc>
          <w:tcPr>
            <w:tcW w:w="2520" w:type="dxa"/>
            <w:tcBorders>
              <w:top w:val="nil"/>
              <w:left w:val="nil"/>
              <w:bottom w:val="nil"/>
              <w:right w:val="nil"/>
            </w:tcBorders>
            <w:tcMar>
              <w:top w:w="0" w:type="dxa"/>
              <w:left w:w="0" w:type="dxa"/>
              <w:bottom w:w="0" w:type="dxa"/>
              <w:right w:w="227" w:type="dxa"/>
            </w:tcMar>
          </w:tcPr>
          <w:p w14:paraId="1EF4F7F0" w14:textId="77777777" w:rsidR="00A87D6C" w:rsidRDefault="00A87D6C">
            <w:pPr>
              <w:rPr>
                <w:sz w:val="20"/>
                <w:szCs w:val="20"/>
              </w:rPr>
            </w:pPr>
          </w:p>
        </w:tc>
      </w:tr>
    </w:tbl>
    <w:p w14:paraId="2A81113D" w14:textId="77777777" w:rsidR="00A87D6C" w:rsidRDefault="000E42EC">
      <w:pPr>
        <w:spacing w:line="240" w:lineRule="auto"/>
      </w:pPr>
      <w: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A87D6C" w14:paraId="17FFB1BC" w14:textId="77777777">
        <w:tc>
          <w:tcPr>
            <w:tcW w:w="3500" w:type="pct"/>
            <w:gridSpan w:val="2"/>
            <w:tcBorders>
              <w:top w:val="nil"/>
              <w:left w:val="nil"/>
              <w:bottom w:val="nil"/>
              <w:right w:val="nil"/>
            </w:tcBorders>
            <w:tcMar>
              <w:top w:w="0" w:type="dxa"/>
              <w:left w:w="0" w:type="dxa"/>
              <w:bottom w:w="0" w:type="dxa"/>
              <w:right w:w="227" w:type="dxa"/>
            </w:tcMar>
          </w:tcPr>
          <w:p w14:paraId="347F08D5" w14:textId="77777777" w:rsidR="00A87D6C" w:rsidRDefault="000E42EC">
            <w:pPr>
              <w:rPr>
                <w:sz w:val="20"/>
                <w:szCs w:val="20"/>
              </w:rPr>
            </w:pPr>
            <w:r>
              <w:rPr>
                <w:b/>
                <w:sz w:val="20"/>
                <w:szCs w:val="20"/>
              </w:rPr>
              <w:t>QR-Code der Medieninformation</w:t>
            </w:r>
          </w:p>
        </w:tc>
        <w:tc>
          <w:tcPr>
            <w:tcW w:w="1500" w:type="pct"/>
            <w:tcBorders>
              <w:top w:val="nil"/>
              <w:left w:val="nil"/>
              <w:bottom w:val="nil"/>
              <w:right w:val="nil"/>
            </w:tcBorders>
            <w:tcMar>
              <w:top w:w="0" w:type="dxa"/>
              <w:left w:w="0" w:type="dxa"/>
              <w:bottom w:w="0" w:type="dxa"/>
              <w:right w:w="227" w:type="dxa"/>
            </w:tcMar>
          </w:tcPr>
          <w:p w14:paraId="0882ABA6" w14:textId="77777777" w:rsidR="00A87D6C" w:rsidRDefault="000E42EC">
            <w:pPr>
              <w:rPr>
                <w:sz w:val="20"/>
                <w:szCs w:val="20"/>
              </w:rPr>
            </w:pPr>
            <w:r>
              <w:rPr>
                <w:sz w:val="20"/>
                <w:szCs w:val="20"/>
              </w:rPr>
              <w:br/>
            </w:r>
          </w:p>
        </w:tc>
      </w:tr>
      <w:tr w:rsidR="00A87D6C" w14:paraId="1E8396AC" w14:textId="77777777">
        <w:trPr>
          <w:gridAfter w:val="1"/>
          <w:wAfter w:w="2160" w:type="dxa"/>
        </w:trPr>
        <w:tc>
          <w:tcPr>
            <w:tcW w:w="2520" w:type="dxa"/>
            <w:tcBorders>
              <w:top w:val="nil"/>
              <w:left w:val="nil"/>
              <w:bottom w:val="nil"/>
              <w:right w:val="nil"/>
            </w:tcBorders>
            <w:tcMar>
              <w:top w:w="0" w:type="dxa"/>
              <w:left w:w="0" w:type="dxa"/>
              <w:bottom w:w="0" w:type="dxa"/>
              <w:right w:w="227" w:type="dxa"/>
            </w:tcMar>
          </w:tcPr>
          <w:p w14:paraId="47523623" w14:textId="77777777" w:rsidR="00A87D6C" w:rsidRDefault="00A87D6C">
            <w:pPr>
              <w:rPr>
                <w:sz w:val="20"/>
                <w:szCs w:val="20"/>
              </w:rPr>
            </w:pPr>
          </w:p>
        </w:tc>
        <w:tc>
          <w:tcPr>
            <w:tcW w:w="2520" w:type="dxa"/>
            <w:tcBorders>
              <w:top w:val="nil"/>
              <w:left w:val="nil"/>
              <w:bottom w:val="nil"/>
              <w:right w:val="nil"/>
            </w:tcBorders>
            <w:tcMar>
              <w:top w:w="0" w:type="dxa"/>
              <w:left w:w="0" w:type="dxa"/>
              <w:bottom w:w="0" w:type="dxa"/>
              <w:right w:w="227" w:type="dxa"/>
            </w:tcMar>
          </w:tcPr>
          <w:p w14:paraId="37F3C970" w14:textId="77777777" w:rsidR="00A87D6C" w:rsidRDefault="00A87D6C">
            <w:pPr>
              <w:rPr>
                <w:sz w:val="20"/>
                <w:szCs w:val="20"/>
              </w:rPr>
            </w:pPr>
          </w:p>
        </w:tc>
      </w:tr>
    </w:tbl>
    <w:p w14:paraId="3937F4D0" w14:textId="77777777" w:rsidR="00A87D6C" w:rsidRDefault="000E42EC">
      <w:r>
        <w:rPr>
          <w:noProof/>
          <w:sz w:val="18"/>
          <w:szCs w:val="18"/>
        </w:rPr>
        <w:drawing>
          <wp:inline distT="0" distB="0" distL="0" distR="0" wp14:anchorId="134DD571" wp14:editId="2C02021B">
            <wp:extent cx="1800860" cy="180086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dpi="0">
                    <a:blip r:embed="rId16"/>
                    <a:srcRect/>
                    <a:stretch>
                      <a:fillRect/>
                    </a:stretch>
                  </pic:blipFill>
                  <pic:spPr>
                    <a:xfrm>
                      <a:off x="0" y="0"/>
                      <a:ext cx="1800860" cy="1800860"/>
                    </a:xfrm>
                    <a:prstGeom prst="rect">
                      <a:avLst/>
                    </a:prstGeom>
                  </pic:spPr>
                </pic:pic>
              </a:graphicData>
            </a:graphic>
          </wp:inline>
        </w:drawing>
      </w:r>
      <w:r>
        <w:rPr>
          <w:sz w:val="18"/>
          <w:szCs w:val="18"/>
        </w:rPr>
        <w:br/>
      </w:r>
    </w:p>
    <w:sectPr w:rsidR="00A87D6C">
      <w:headerReference w:type="default" r:id="rId17"/>
      <w:footerReference w:type="default" r:id="rId18"/>
      <w:headerReference w:type="first" r:id="rId19"/>
      <w:footerReference w:type="first" r:id="rId20"/>
      <w:pgSz w:w="11906" w:h="16838"/>
      <w:pgMar w:top="2154" w:right="1020" w:bottom="1134" w:left="1134" w:header="850"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29FD31" w14:textId="77777777" w:rsidR="000E42EC" w:rsidRDefault="000E42EC">
      <w:pPr>
        <w:spacing w:line="240" w:lineRule="auto"/>
      </w:pPr>
      <w:r>
        <w:separator/>
      </w:r>
    </w:p>
  </w:endnote>
  <w:endnote w:type="continuationSeparator" w:id="0">
    <w:p w14:paraId="47E392DA" w14:textId="77777777" w:rsidR="000E42EC" w:rsidRDefault="000E42E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Einfach1"/>
      <w:tblW w:w="5000" w:type="pct"/>
      <w:tblLayout w:type="fixed"/>
      <w:tblLook w:val="04A0" w:firstRow="1" w:lastRow="0" w:firstColumn="1" w:lastColumn="0" w:noHBand="0" w:noVBand="1"/>
    </w:tblPr>
    <w:tblGrid>
      <w:gridCol w:w="9557"/>
      <w:gridCol w:w="195"/>
    </w:tblGrid>
    <w:tr w:rsidR="00A87D6C" w14:paraId="3EC36928" w14:textId="77777777">
      <w:tc>
        <w:tcPr>
          <w:tcW w:w="4900" w:type="pct"/>
          <w:tcBorders>
            <w:top w:val="nil"/>
            <w:left w:val="nil"/>
            <w:bottom w:val="nil"/>
            <w:right w:val="nil"/>
          </w:tcBorders>
          <w:tcMar>
            <w:top w:w="0" w:type="dxa"/>
            <w:left w:w="0" w:type="dxa"/>
            <w:bottom w:w="0" w:type="dxa"/>
            <w:right w:w="0" w:type="dxa"/>
          </w:tcMar>
          <w:vAlign w:val="bottom"/>
        </w:tcPr>
        <w:p w14:paraId="2547BE6C" w14:textId="77777777" w:rsidR="00A87D6C" w:rsidRDefault="00A87D6C">
          <w:pPr>
            <w:rPr>
              <w:sz w:val="14"/>
              <w:szCs w:val="14"/>
            </w:rPr>
          </w:pPr>
        </w:p>
      </w:tc>
      <w:tc>
        <w:tcPr>
          <w:tcW w:w="100" w:type="pct"/>
          <w:tcBorders>
            <w:top w:val="nil"/>
            <w:left w:val="nil"/>
            <w:bottom w:val="nil"/>
            <w:right w:val="nil"/>
          </w:tcBorders>
          <w:tcMar>
            <w:top w:w="0" w:type="dxa"/>
            <w:left w:w="0" w:type="dxa"/>
            <w:bottom w:w="0" w:type="dxa"/>
            <w:right w:w="0" w:type="dxa"/>
          </w:tcMar>
          <w:vAlign w:val="bottom"/>
        </w:tcPr>
        <w:p w14:paraId="4C60F5D2" w14:textId="77777777" w:rsidR="00A87D6C" w:rsidRDefault="000E42EC">
          <w:pPr>
            <w:rPr>
              <w:sz w:val="14"/>
              <w:szCs w:val="14"/>
            </w:rPr>
          </w:pPr>
          <w:r>
            <w:rPr>
              <w:sz w:val="14"/>
              <w:szCs w:val="14"/>
            </w:rPr>
            <w:fldChar w:fldCharType="begin"/>
          </w:r>
          <w:r>
            <w:rPr>
              <w:sz w:val="14"/>
              <w:szCs w:val="14"/>
            </w:rPr>
            <w:instrText>PAGE \* ARABIC</w:instrText>
          </w:r>
          <w:r>
            <w:rPr>
              <w:sz w:val="14"/>
              <w:szCs w:val="14"/>
            </w:rPr>
            <w:fldChar w:fldCharType="separate"/>
          </w:r>
          <w:r>
            <w:rPr>
              <w:sz w:val="14"/>
              <w:szCs w:val="14"/>
            </w:rPr>
            <w:t>#</w:t>
          </w:r>
          <w:r>
            <w:rPr>
              <w:sz w:val="14"/>
              <w:szCs w:val="14"/>
            </w:rPr>
            <w:fldChar w:fldCharType="end"/>
          </w:r>
        </w:p>
      </w:tc>
    </w:tr>
  </w:tbl>
  <w:p w14:paraId="69A604A3" w14:textId="77777777" w:rsidR="00A87D6C" w:rsidRDefault="00A87D6C">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A87D6C" w14:paraId="57903DF3" w14:textId="77777777">
      <w:tc>
        <w:tcPr>
          <w:tcW w:w="4900" w:type="pct"/>
          <w:tcBorders>
            <w:top w:val="nil"/>
            <w:left w:val="nil"/>
            <w:bottom w:val="nil"/>
            <w:right w:val="nil"/>
          </w:tcBorders>
          <w:tcMar>
            <w:top w:w="0" w:type="dxa"/>
            <w:left w:w="0" w:type="dxa"/>
            <w:bottom w:w="0" w:type="dxa"/>
            <w:right w:w="0" w:type="dxa"/>
          </w:tcMar>
          <w:vAlign w:val="bottom"/>
        </w:tcPr>
        <w:p w14:paraId="701AFD0C" w14:textId="77777777" w:rsidR="00A87D6C" w:rsidRDefault="00A87D6C">
          <w:pPr>
            <w:rPr>
              <w:sz w:val="14"/>
              <w:szCs w:val="14"/>
            </w:rPr>
          </w:pPr>
        </w:p>
      </w:tc>
      <w:tc>
        <w:tcPr>
          <w:tcW w:w="100" w:type="pct"/>
          <w:tcBorders>
            <w:top w:val="nil"/>
            <w:left w:val="nil"/>
            <w:bottom w:val="nil"/>
            <w:right w:val="nil"/>
          </w:tcBorders>
          <w:tcMar>
            <w:top w:w="0" w:type="dxa"/>
            <w:left w:w="0" w:type="dxa"/>
            <w:bottom w:w="0" w:type="dxa"/>
            <w:right w:w="0" w:type="dxa"/>
          </w:tcMar>
          <w:vAlign w:val="bottom"/>
        </w:tcPr>
        <w:p w14:paraId="566ABAE1" w14:textId="77777777" w:rsidR="00A87D6C" w:rsidRDefault="00A87D6C">
          <w:pPr>
            <w:rPr>
              <w:sz w:val="14"/>
              <w:szCs w:val="14"/>
            </w:rPr>
          </w:pPr>
        </w:p>
      </w:tc>
    </w:tr>
  </w:tbl>
  <w:p w14:paraId="53A588EA" w14:textId="77777777" w:rsidR="00A87D6C" w:rsidRDefault="00A87D6C">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21A1E3" w14:textId="77777777" w:rsidR="000E42EC" w:rsidRDefault="000E42EC">
      <w:pPr>
        <w:spacing w:line="240" w:lineRule="auto"/>
      </w:pPr>
      <w:r>
        <w:separator/>
      </w:r>
    </w:p>
  </w:footnote>
  <w:footnote w:type="continuationSeparator" w:id="0">
    <w:p w14:paraId="29A63294" w14:textId="77777777" w:rsidR="000E42EC" w:rsidRDefault="000E42E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D073E" w14:textId="77777777" w:rsidR="00A87D6C" w:rsidRDefault="000E42EC">
    <w:r>
      <w:rPr>
        <w:noProof/>
      </w:rPr>
      <w:drawing>
        <wp:anchor distT="0" distB="0" distL="114300" distR="114300" simplePos="0" relativeHeight="251659264" behindDoc="0" locked="0" layoutInCell="0" allowOverlap="0" wp14:anchorId="54FA0869" wp14:editId="1721942A">
          <wp:simplePos x="0" y="0"/>
          <wp:positionH relativeFrom="page">
            <wp:posOffset>5147945</wp:posOffset>
          </wp:positionH>
          <wp:positionV relativeFrom="page">
            <wp:posOffset>539750</wp:posOffset>
          </wp:positionV>
          <wp:extent cx="1235710" cy="58801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rPr>
      <w:t>PRESSE-INFORMATION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6BEDD" w14:textId="77777777" w:rsidR="00A87D6C" w:rsidRDefault="000E42EC">
    <w:r>
      <w:rPr>
        <w:noProof/>
      </w:rPr>
      <w:drawing>
        <wp:anchor distT="0" distB="0" distL="114300" distR="114300" simplePos="0" relativeHeight="251658240" behindDoc="0" locked="0" layoutInCell="0" allowOverlap="0" wp14:anchorId="7E3DD7EF" wp14:editId="2591F35F">
          <wp:simplePos x="0" y="0"/>
          <wp:positionH relativeFrom="page">
            <wp:posOffset>5147945</wp:posOffset>
          </wp:positionH>
          <wp:positionV relativeFrom="page">
            <wp:posOffset>539750</wp:posOffset>
          </wp:positionV>
          <wp:extent cx="1235710" cy="58801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rPr>
      <w:t>PRESSE-INFORMATION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7D6C"/>
    <w:rsid w:val="000E42EC"/>
    <w:rsid w:val="003A33B5"/>
    <w:rsid w:val="00860222"/>
    <w:rsid w:val="00A87D6C"/>
    <w:rsid w:val="00B44E94"/>
    <w:rsid w:val="00D706F3"/>
  </w:rsids>
  <m:mathPr>
    <m:mathFont m:val="Cambria Math"/>
    <m:brkBin m:val="before"/>
    <m:brkBinSub m:val="--"/>
    <m:smallFrac m:val="0"/>
    <m:dispDef/>
    <m:lMargin m:val="0"/>
    <m:rMargin m:val="0"/>
    <m:defJc m:val="centerGroup"/>
    <m:wrapIndent m:val="0"/>
    <m:intLim m:val="undOvr"/>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D87288"/>
  <w15:docId w15:val="{4AD2B834-3940-45D4-966A-F630F3415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color w:val="000000"/>
        <w:sz w:val="24"/>
        <w:szCs w:val="24"/>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www.home2be.de" TargetMode="External"/><Relationship Id="rId12" Type="http://schemas.openxmlformats.org/officeDocument/2006/relationships/image" Target="media/image6.jp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5.jpg"/><Relationship Id="rId5" Type="http://schemas.openxmlformats.org/officeDocument/2006/relationships/endnotes" Target="endnotes.xml"/><Relationship Id="rId15" Type="http://schemas.openxmlformats.org/officeDocument/2006/relationships/hyperlink" Target="https://www.haefele.de/de/" TargetMode="External"/><Relationship Id="rId10" Type="http://schemas.openxmlformats.org/officeDocument/2006/relationships/image" Target="media/image4.jpg"/><Relationship Id="rId19"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1409</Words>
  <Characters>8881</Characters>
  <Application>Microsoft Office Word</Application>
  <DocSecurity>0</DocSecurity>
  <Lines>74</Lines>
  <Paragraphs>20</Paragraphs>
  <ScaleCrop>false</ScaleCrop>
  <Company/>
  <LinksUpToDate>false</LinksUpToDate>
  <CharactersWithSpaces>10270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Susanne Dubbert</dc:creator>
  <cp:lastModifiedBy>Susanne Dubbert</cp:lastModifiedBy>
  <cp:revision>3</cp:revision>
  <dcterms:created xsi:type="dcterms:W3CDTF">2026-04-23T10:16:00Z</dcterms:created>
  <dcterms:modified xsi:type="dcterms:W3CDTF">2026-04-23T10:20:00Z</dcterms:modified>
</cp:coreProperties>
</file>