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054F677" w14:textId="77777777" w:rsidR="00150A8F" w:rsidRDefault="00154898">
      <w:pPr>
        <w:rPr>
          <w:rFonts w:eastAsia="Arial"/>
          <w:sz w:val="8"/>
          <w:szCs w:val="8"/>
        </w:rPr>
      </w:pPr>
      <w:r>
        <w:rPr>
          <w:b/>
          <w:bCs/>
          <w:sz w:val="32"/>
          <w:szCs w:val="32"/>
        </w:rPr>
        <w:t>Einer für (fast) alles</w:t>
      </w:r>
      <w:r>
        <w:rPr>
          <w:b/>
          <w:bCs/>
          <w:sz w:val="32"/>
          <w:szCs w:val="32"/>
        </w:rPr>
        <w:br/>
      </w:r>
      <w:r>
        <w:rPr>
          <w:rFonts w:eastAsia="Arial"/>
        </w:rPr>
        <w:t>Der Universalverbinder UC 16/64 von Häfele</w:t>
      </w:r>
      <w:r>
        <w:rPr>
          <w:rFonts w:eastAsia="Arial"/>
        </w:rPr>
        <w:br/>
      </w:r>
      <w:r>
        <w:rPr>
          <w:rFonts w:eastAsia="Arial"/>
          <w:sz w:val="8"/>
          <w:szCs w:val="8"/>
        </w:rPr>
        <w:br/>
      </w:r>
    </w:p>
    <w:tbl>
      <w:tblPr>
        <w:tblStyle w:val="TabelleEinfach1"/>
        <w:tblW w:w="5000" w:type="pct"/>
        <w:jc w:val="center"/>
        <w:tblLayout w:type="fixed"/>
        <w:tblCellMar>
          <w:left w:w="0" w:type="dxa"/>
          <w:right w:w="227" w:type="dxa"/>
        </w:tblCellMar>
        <w:tblLook w:val="04A0" w:firstRow="1" w:lastRow="0" w:firstColumn="1" w:lastColumn="0" w:noHBand="0" w:noVBand="1"/>
      </w:tblPr>
      <w:tblGrid>
        <w:gridCol w:w="9752"/>
      </w:tblGrid>
      <w:tr w:rsidR="00150A8F" w14:paraId="7D92CE77" w14:textId="77777777">
        <w:trPr>
          <w:jc w:val="center"/>
        </w:trPr>
        <w:tc>
          <w:tcPr>
            <w:tcW w:w="5000" w:type="pct"/>
            <w:tcBorders>
              <w:top w:val="nil"/>
              <w:left w:val="nil"/>
              <w:bottom w:val="nil"/>
              <w:right w:val="nil"/>
            </w:tcBorders>
            <w:shd w:val="clear" w:color="auto" w:fill="auto"/>
            <w:tcMar>
              <w:top w:w="0" w:type="dxa"/>
              <w:left w:w="0" w:type="dxa"/>
              <w:bottom w:w="0" w:type="dxa"/>
              <w:right w:w="227" w:type="dxa"/>
            </w:tcMar>
          </w:tcPr>
          <w:p w14:paraId="06802833" w14:textId="77777777" w:rsidR="00150A8F" w:rsidRDefault="00154898">
            <w:pPr>
              <w:rPr>
                <w:sz w:val="18"/>
                <w:szCs w:val="18"/>
              </w:rPr>
            </w:pPr>
            <w:r>
              <w:rPr>
                <w:noProof/>
                <w:sz w:val="18"/>
                <w:szCs w:val="18"/>
              </w:rPr>
              <w:drawing>
                <wp:inline distT="0" distB="0" distL="0" distR="0" wp14:anchorId="00983071" wp14:editId="69871CF0">
                  <wp:extent cx="3995420" cy="2663825"/>
                  <wp:effectExtent l="0" t="0" r="0" b="0"/>
                  <wp:docPr id="3" name="Picture 3"/>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dpi="0">
                          <a:blip r:embed="rId6"/>
                          <a:srcRect/>
                          <a:stretch>
                            <a:fillRect/>
                          </a:stretch>
                        </pic:blipFill>
                        <pic:spPr>
                          <a:xfrm>
                            <a:off x="0" y="0"/>
                            <a:ext cx="3995420" cy="2663825"/>
                          </a:xfrm>
                          <a:prstGeom prst="rect">
                            <a:avLst/>
                          </a:prstGeom>
                        </pic:spPr>
                      </pic:pic>
                    </a:graphicData>
                  </a:graphic>
                </wp:inline>
              </w:drawing>
            </w:r>
          </w:p>
        </w:tc>
      </w:tr>
    </w:tbl>
    <w:p w14:paraId="0407B64D" w14:textId="77777777" w:rsidR="00150A8F" w:rsidRDefault="00154898">
      <w:pPr>
        <w:rPr>
          <w:sz w:val="8"/>
          <w:szCs w:val="8"/>
        </w:rPr>
      </w:pPr>
      <w:r>
        <w:rPr>
          <w:sz w:val="8"/>
          <w:szCs w:val="8"/>
        </w:rPr>
        <w:br/>
      </w:r>
    </w:p>
    <w:tbl>
      <w:tblPr>
        <w:tblStyle w:val="TabelleEinfach1"/>
        <w:tblW w:w="5000" w:type="pct"/>
        <w:tblLayout w:type="fixed"/>
        <w:tblCellMar>
          <w:left w:w="0" w:type="dxa"/>
          <w:right w:w="227" w:type="dxa"/>
        </w:tblCellMar>
        <w:tblLook w:val="04A0" w:firstRow="1" w:lastRow="0" w:firstColumn="1" w:lastColumn="0" w:noHBand="0" w:noVBand="1"/>
      </w:tblPr>
      <w:tblGrid>
        <w:gridCol w:w="3413"/>
        <w:gridCol w:w="3413"/>
        <w:gridCol w:w="2926"/>
      </w:tblGrid>
      <w:tr w:rsidR="00150A8F" w14:paraId="0ED97084" w14:textId="77777777">
        <w:tc>
          <w:tcPr>
            <w:tcW w:w="3500" w:type="pct"/>
            <w:gridSpan w:val="2"/>
            <w:tcBorders>
              <w:top w:val="nil"/>
              <w:left w:val="nil"/>
              <w:bottom w:val="nil"/>
              <w:right w:val="nil"/>
            </w:tcBorders>
            <w:shd w:val="clear" w:color="auto" w:fill="auto"/>
            <w:tcMar>
              <w:top w:w="0" w:type="dxa"/>
              <w:left w:w="0" w:type="dxa"/>
              <w:bottom w:w="0" w:type="dxa"/>
              <w:right w:w="227" w:type="dxa"/>
            </w:tcMar>
          </w:tcPr>
          <w:p w14:paraId="36E9603F" w14:textId="77777777" w:rsidR="00150A8F" w:rsidRDefault="00154898">
            <w:pPr>
              <w:spacing w:after="240"/>
              <w:rPr>
                <w:sz w:val="20"/>
                <w:szCs w:val="20"/>
              </w:rPr>
            </w:pPr>
            <w:r>
              <w:rPr>
                <w:i/>
                <w:sz w:val="20"/>
                <w:szCs w:val="20"/>
              </w:rPr>
              <w:t xml:space="preserve">Ein Beschlag, der die Eigenschaften überraschend vieler unterschiedlicher </w:t>
            </w:r>
            <w:proofErr w:type="spellStart"/>
            <w:r>
              <w:rPr>
                <w:i/>
                <w:sz w:val="20"/>
                <w:szCs w:val="20"/>
              </w:rPr>
              <w:t>Möbelverbindervarianten</w:t>
            </w:r>
            <w:proofErr w:type="spellEnd"/>
            <w:r>
              <w:rPr>
                <w:i/>
                <w:sz w:val="20"/>
                <w:szCs w:val="20"/>
              </w:rPr>
              <w:t xml:space="preserve"> in nur einem Produkt vereint, ist der neue Universalverbinder UC 16/64 von </w:t>
            </w:r>
            <w:r>
              <w:rPr>
                <w:i/>
                <w:sz w:val="20"/>
                <w:szCs w:val="20"/>
              </w:rPr>
              <w:t>Häfele. Möglich ist das durch seine komplexe, durchdachte Form, die von Häfele entwickelt und patentiert wurde.  </w:t>
            </w:r>
          </w:p>
          <w:p w14:paraId="68898405" w14:textId="77777777" w:rsidR="00154898" w:rsidRDefault="00154898">
            <w:pPr>
              <w:rPr>
                <w:sz w:val="20"/>
                <w:szCs w:val="20"/>
              </w:rPr>
            </w:pPr>
          </w:p>
          <w:p w14:paraId="321E142C" w14:textId="434927D2" w:rsidR="00150A8F" w:rsidRDefault="00154898">
            <w:pPr>
              <w:rPr>
                <w:sz w:val="20"/>
                <w:szCs w:val="20"/>
              </w:rPr>
            </w:pPr>
            <w:r>
              <w:rPr>
                <w:sz w:val="20"/>
                <w:szCs w:val="20"/>
              </w:rPr>
              <w:t xml:space="preserve">Der Universalverbinder UC 16/64 kann aufgeschraubt, eingehängt, </w:t>
            </w:r>
            <w:proofErr w:type="spellStart"/>
            <w:r>
              <w:rPr>
                <w:sz w:val="20"/>
                <w:szCs w:val="20"/>
              </w:rPr>
              <w:t>aufgeclipst</w:t>
            </w:r>
            <w:proofErr w:type="spellEnd"/>
            <w:r>
              <w:rPr>
                <w:sz w:val="20"/>
                <w:szCs w:val="20"/>
              </w:rPr>
              <w:t xml:space="preserve"> oder aufgeschoben werden – je nach Anwendung als Einzelelement oder als Kombination zweier oder mehrerer identischer Teile. Durch Einrastpunkte lässt er sich in verschiedenen Winkeln montieren, eine Unterscheidung zwischen Rahmen- und Plattenteil ist nicht mehr notwendig. Weil der kleine Allrounder aus Polycarbonat so vielseitig einsetzbar ist, reduziert sich die Lagerbevorratung in der Werkstatt. Auch bei Montagen ist es ein deutlicher Vorteil, nur ein Produkt für verschiedenste Anwendungen mit</w:t>
            </w:r>
            <w:r>
              <w:rPr>
                <w:sz w:val="20"/>
                <w:szCs w:val="20"/>
              </w:rPr>
              <w:t>nehmen zu müssen. Der Universalverbinder ist 16 mm breit, 64 mm lang und 16 mm hoch. Was er kann und wie er sich verbauen lässt, können die Besucher auf der Holz-Handwerk vor Ort am Stand von Häfele testen.</w:t>
            </w:r>
          </w:p>
        </w:tc>
        <w:tc>
          <w:tcPr>
            <w:tcW w:w="1500" w:type="pct"/>
            <w:tcBorders>
              <w:top w:val="nil"/>
              <w:left w:val="nil"/>
              <w:bottom w:val="nil"/>
              <w:right w:val="nil"/>
            </w:tcBorders>
            <w:shd w:val="clear" w:color="auto" w:fill="auto"/>
            <w:tcMar>
              <w:top w:w="0" w:type="dxa"/>
              <w:left w:w="0" w:type="dxa"/>
              <w:bottom w:w="0" w:type="dxa"/>
              <w:right w:w="227" w:type="dxa"/>
            </w:tcMar>
          </w:tcPr>
          <w:p w14:paraId="46F8BA2B" w14:textId="77777777" w:rsidR="00150A8F" w:rsidRDefault="00154898">
            <w:pPr>
              <w:spacing w:after="240"/>
              <w:rPr>
                <w:sz w:val="20"/>
                <w:szCs w:val="20"/>
              </w:rPr>
            </w:pPr>
            <w:r>
              <w:rPr>
                <w:b/>
                <w:sz w:val="20"/>
                <w:szCs w:val="20"/>
              </w:rPr>
              <w:t>Ansprechpartner für Journalisten:</w:t>
            </w:r>
            <w:r>
              <w:rPr>
                <w:b/>
                <w:sz w:val="20"/>
                <w:szCs w:val="20"/>
              </w:rPr>
              <w:br/>
            </w:r>
            <w:r>
              <w:rPr>
                <w:sz w:val="20"/>
                <w:szCs w:val="20"/>
              </w:rPr>
              <w:t>Rainer Häupl</w:t>
            </w:r>
            <w:r>
              <w:rPr>
                <w:sz w:val="20"/>
                <w:szCs w:val="20"/>
              </w:rPr>
              <w:br/>
              <w:t>bering*kopal GbR, Büro für Kommunikation</w:t>
            </w:r>
            <w:r>
              <w:rPr>
                <w:sz w:val="20"/>
                <w:szCs w:val="20"/>
              </w:rPr>
              <w:br/>
              <w:t>T + 49 (0) 711 74 51 759-16</w:t>
            </w:r>
            <w:r>
              <w:rPr>
                <w:sz w:val="20"/>
                <w:szCs w:val="20"/>
              </w:rPr>
              <w:br/>
              <w:t>rainer.haeupl@bering-kopal.de</w:t>
            </w:r>
            <w:r>
              <w:rPr>
                <w:sz w:val="20"/>
                <w:szCs w:val="20"/>
              </w:rPr>
              <w:br/>
              <w:t>www.bering-kopal.de</w:t>
            </w:r>
          </w:p>
          <w:p w14:paraId="4F0AE9D3" w14:textId="77777777" w:rsidR="00150A8F" w:rsidRDefault="00154898">
            <w:pPr>
              <w:spacing w:after="240"/>
              <w:rPr>
                <w:sz w:val="20"/>
                <w:szCs w:val="20"/>
              </w:rPr>
            </w:pPr>
            <w:r>
              <w:rPr>
                <w:b/>
                <w:sz w:val="20"/>
                <w:szCs w:val="20"/>
              </w:rPr>
              <w:t>Ansprechpartnerin im Unternehmen:</w:t>
            </w:r>
            <w:r>
              <w:rPr>
                <w:b/>
                <w:sz w:val="20"/>
                <w:szCs w:val="20"/>
              </w:rPr>
              <w:br/>
            </w:r>
            <w:r>
              <w:rPr>
                <w:sz w:val="20"/>
                <w:szCs w:val="20"/>
              </w:rPr>
              <w:t>Sarah Grünler</w:t>
            </w:r>
            <w:r>
              <w:rPr>
                <w:sz w:val="20"/>
                <w:szCs w:val="20"/>
              </w:rPr>
              <w:br/>
              <w:t>Senior Corporate Communications Manager</w:t>
            </w:r>
            <w:r>
              <w:rPr>
                <w:sz w:val="20"/>
                <w:szCs w:val="20"/>
              </w:rPr>
              <w:br/>
              <w:t>Häfele SE &amp; Co KG</w:t>
            </w:r>
            <w:r>
              <w:rPr>
                <w:sz w:val="20"/>
                <w:szCs w:val="20"/>
              </w:rPr>
              <w:br/>
              <w:t>Tel.: +49 (0)7452 95-510</w:t>
            </w:r>
            <w:r>
              <w:rPr>
                <w:sz w:val="20"/>
                <w:szCs w:val="20"/>
              </w:rPr>
              <w:br/>
              <w:t>Mobil: +49 160 97871786</w:t>
            </w:r>
            <w:r>
              <w:rPr>
                <w:sz w:val="20"/>
                <w:szCs w:val="20"/>
              </w:rPr>
              <w:br/>
              <w:t>sarah.gruenler@haefele.de</w:t>
            </w:r>
          </w:p>
          <w:p w14:paraId="70B91433" w14:textId="77777777" w:rsidR="00150A8F" w:rsidRDefault="00154898">
            <w:pPr>
              <w:spacing w:after="240"/>
              <w:rPr>
                <w:sz w:val="20"/>
                <w:szCs w:val="20"/>
              </w:rPr>
            </w:pPr>
            <w:r>
              <w:rPr>
                <w:sz w:val="20"/>
                <w:szCs w:val="20"/>
              </w:rPr>
              <w:t> </w:t>
            </w:r>
          </w:p>
          <w:p w14:paraId="0748CC7C" w14:textId="77777777" w:rsidR="00150A8F" w:rsidRDefault="00154898">
            <w:pPr>
              <w:rPr>
                <w:sz w:val="20"/>
                <w:szCs w:val="20"/>
              </w:rPr>
            </w:pPr>
            <w:r>
              <w:rPr>
                <w:sz w:val="20"/>
                <w:szCs w:val="20"/>
              </w:rPr>
              <w:t> </w:t>
            </w:r>
          </w:p>
        </w:tc>
      </w:tr>
      <w:tr w:rsidR="00150A8F" w14:paraId="291902A9" w14:textId="77777777">
        <w:trPr>
          <w:gridAfter w:val="1"/>
          <w:wAfter w:w="2160" w:type="dxa"/>
        </w:trPr>
        <w:tc>
          <w:tcPr>
            <w:tcW w:w="2520" w:type="dxa"/>
            <w:tcBorders>
              <w:top w:val="nil"/>
              <w:left w:val="nil"/>
              <w:bottom w:val="nil"/>
              <w:right w:val="nil"/>
            </w:tcBorders>
            <w:shd w:val="clear" w:color="auto" w:fill="auto"/>
            <w:tcMar>
              <w:top w:w="0" w:type="dxa"/>
              <w:left w:w="0" w:type="dxa"/>
              <w:bottom w:w="0" w:type="dxa"/>
              <w:right w:w="227" w:type="dxa"/>
            </w:tcMar>
          </w:tcPr>
          <w:p w14:paraId="46BE25A9" w14:textId="77777777" w:rsidR="00150A8F" w:rsidRDefault="00150A8F">
            <w:pPr>
              <w:rPr>
                <w:sz w:val="20"/>
                <w:szCs w:val="20"/>
              </w:rPr>
            </w:pPr>
          </w:p>
        </w:tc>
        <w:tc>
          <w:tcPr>
            <w:tcW w:w="2520" w:type="dxa"/>
            <w:tcBorders>
              <w:top w:val="nil"/>
              <w:left w:val="nil"/>
              <w:bottom w:val="nil"/>
              <w:right w:val="nil"/>
            </w:tcBorders>
            <w:shd w:val="clear" w:color="auto" w:fill="auto"/>
            <w:tcMar>
              <w:top w:w="0" w:type="dxa"/>
              <w:left w:w="0" w:type="dxa"/>
              <w:bottom w:w="0" w:type="dxa"/>
              <w:right w:w="227" w:type="dxa"/>
            </w:tcMar>
          </w:tcPr>
          <w:p w14:paraId="07B79698" w14:textId="77777777" w:rsidR="00150A8F" w:rsidRDefault="00150A8F">
            <w:pPr>
              <w:rPr>
                <w:sz w:val="20"/>
                <w:szCs w:val="20"/>
              </w:rPr>
            </w:pPr>
          </w:p>
        </w:tc>
      </w:tr>
    </w:tbl>
    <w:p w14:paraId="3F87E523" w14:textId="77777777" w:rsidR="00150A8F" w:rsidRDefault="00154898">
      <w:r>
        <w:br w:type="page"/>
      </w:r>
    </w:p>
    <w:p w14:paraId="5B6E3E17" w14:textId="77777777" w:rsidR="00150A8F" w:rsidRDefault="00154898">
      <w:pPr>
        <w:spacing w:line="240" w:lineRule="auto"/>
        <w:rPr>
          <w:sz w:val="17"/>
          <w:szCs w:val="17"/>
        </w:rPr>
      </w:pPr>
      <w:r>
        <w:rPr>
          <w:b/>
          <w:sz w:val="17"/>
          <w:szCs w:val="17"/>
        </w:rPr>
        <w:lastRenderedPageBreak/>
        <w:t>1</w:t>
      </w:r>
      <w:r>
        <w:rPr>
          <w:sz w:val="17"/>
          <w:szCs w:val="17"/>
        </w:rPr>
        <w:t xml:space="preserve"> Funktionsschema des Universalverbinders: Das Bauteil kann je nach Anwendung ganz unterschiedlich montiert werden und deckt damit sehr viele Verbindungsmöglichkeiten ab. Zur besseren Veranschaulichung sind die Kombinationen hier im Rendering in rot und schwarz dargestellt – zu kaufen gibt es ihn nur in schwarz. Rendering: Häfele</w:t>
      </w:r>
      <w:r>
        <w:rPr>
          <w:sz w:val="17"/>
          <w:szCs w:val="17"/>
        </w:rPr>
        <w:br/>
      </w:r>
      <w:r>
        <w:rPr>
          <w:sz w:val="17"/>
          <w:szCs w:val="17"/>
        </w:rPr>
        <w:br/>
      </w:r>
      <w:r>
        <w:rPr>
          <w:sz w:val="17"/>
          <w:szCs w:val="17"/>
        </w:rPr>
        <w:br/>
      </w:r>
    </w:p>
    <w:tbl>
      <w:tblPr>
        <w:tblStyle w:val="TabelleEinfach1"/>
        <w:tblW w:w="5000" w:type="pct"/>
        <w:tblLayout w:type="fixed"/>
        <w:tblCellMar>
          <w:left w:w="0" w:type="dxa"/>
          <w:right w:w="0" w:type="dxa"/>
        </w:tblCellMar>
        <w:tblLook w:val="04A0" w:firstRow="1" w:lastRow="0" w:firstColumn="1" w:lastColumn="0" w:noHBand="0" w:noVBand="1"/>
      </w:tblPr>
      <w:tblGrid>
        <w:gridCol w:w="4767"/>
        <w:gridCol w:w="218"/>
        <w:gridCol w:w="4767"/>
      </w:tblGrid>
      <w:tr w:rsidR="00150A8F" w14:paraId="7795C62B" w14:textId="77777777">
        <w:tc>
          <w:tcPr>
            <w:tcW w:w="2444" w:type="pct"/>
            <w:tcBorders>
              <w:top w:val="nil"/>
              <w:left w:val="nil"/>
              <w:bottom w:val="nil"/>
              <w:right w:val="nil"/>
            </w:tcBorders>
            <w:shd w:val="clear" w:color="auto" w:fill="auto"/>
            <w:tcMar>
              <w:top w:w="0" w:type="dxa"/>
              <w:left w:w="0" w:type="dxa"/>
              <w:bottom w:w="0" w:type="dxa"/>
              <w:right w:w="0" w:type="dxa"/>
            </w:tcMar>
          </w:tcPr>
          <w:p w14:paraId="2F50D20C" w14:textId="77777777" w:rsidR="00150A8F" w:rsidRDefault="00154898">
            <w:pPr>
              <w:keepNext/>
              <w:keepLines/>
              <w:spacing w:line="240" w:lineRule="auto"/>
              <w:rPr>
                <w:sz w:val="14"/>
                <w:szCs w:val="14"/>
              </w:rPr>
            </w:pPr>
            <w:r>
              <w:rPr>
                <w:sz w:val="14"/>
                <w:szCs w:val="14"/>
              </w:rPr>
              <w:t>1.</w:t>
            </w:r>
          </w:p>
        </w:tc>
        <w:tc>
          <w:tcPr>
            <w:tcW w:w="112" w:type="pct"/>
            <w:tcBorders>
              <w:top w:val="nil"/>
              <w:left w:val="nil"/>
              <w:bottom w:val="nil"/>
              <w:right w:val="nil"/>
            </w:tcBorders>
            <w:shd w:val="clear" w:color="auto" w:fill="auto"/>
            <w:tcMar>
              <w:top w:w="0" w:type="dxa"/>
              <w:left w:w="0" w:type="dxa"/>
              <w:bottom w:w="0" w:type="dxa"/>
              <w:right w:w="0" w:type="dxa"/>
            </w:tcMar>
          </w:tcPr>
          <w:p w14:paraId="4A96DA18" w14:textId="77777777" w:rsidR="00150A8F" w:rsidRDefault="00150A8F">
            <w:pPr>
              <w:keepNext/>
              <w:keepLines/>
              <w:spacing w:line="240" w:lineRule="auto"/>
              <w:rPr>
                <w:sz w:val="14"/>
                <w:szCs w:val="14"/>
              </w:rPr>
            </w:pPr>
          </w:p>
        </w:tc>
        <w:tc>
          <w:tcPr>
            <w:tcW w:w="2444" w:type="pct"/>
            <w:tcBorders>
              <w:top w:val="nil"/>
              <w:left w:val="nil"/>
              <w:bottom w:val="nil"/>
              <w:right w:val="nil"/>
            </w:tcBorders>
            <w:shd w:val="clear" w:color="auto" w:fill="auto"/>
            <w:tcMar>
              <w:top w:w="0" w:type="dxa"/>
              <w:left w:w="0" w:type="dxa"/>
              <w:bottom w:w="0" w:type="dxa"/>
              <w:right w:w="0" w:type="dxa"/>
            </w:tcMar>
          </w:tcPr>
          <w:p w14:paraId="1839AC5A" w14:textId="77777777" w:rsidR="00150A8F" w:rsidRDefault="00150A8F">
            <w:pPr>
              <w:keepNext/>
              <w:keepLines/>
              <w:spacing w:line="240" w:lineRule="auto"/>
              <w:rPr>
                <w:sz w:val="14"/>
                <w:szCs w:val="14"/>
              </w:rPr>
            </w:pPr>
          </w:p>
        </w:tc>
      </w:tr>
      <w:tr w:rsidR="00150A8F" w14:paraId="1F95E98E" w14:textId="77777777">
        <w:trPr>
          <w:trHeight w:hRule="exact" w:val="3175"/>
        </w:trPr>
        <w:tc>
          <w:tcPr>
            <w:tcW w:w="2444" w:type="pct"/>
            <w:tcBorders>
              <w:top w:val="single" w:sz="2" w:space="0" w:color="DCDCDC"/>
              <w:left w:val="single" w:sz="2" w:space="0" w:color="DCDCDC"/>
              <w:bottom w:val="single" w:sz="2" w:space="0" w:color="DCDCDC"/>
              <w:right w:val="single" w:sz="2" w:space="0" w:color="DCDCDC"/>
            </w:tcBorders>
            <w:shd w:val="clear" w:color="auto" w:fill="auto"/>
            <w:tcMar>
              <w:top w:w="0" w:type="dxa"/>
              <w:left w:w="0" w:type="dxa"/>
              <w:bottom w:w="0" w:type="dxa"/>
              <w:right w:w="0" w:type="dxa"/>
            </w:tcMar>
          </w:tcPr>
          <w:p w14:paraId="47E058C8" w14:textId="77777777" w:rsidR="00150A8F" w:rsidRDefault="00154898">
            <w:pPr>
              <w:keepNext/>
              <w:keepLines/>
              <w:spacing w:line="240" w:lineRule="auto"/>
              <w:rPr>
                <w:sz w:val="14"/>
                <w:szCs w:val="14"/>
              </w:rPr>
            </w:pPr>
            <w:r>
              <w:rPr>
                <w:noProof/>
                <w:sz w:val="14"/>
                <w:szCs w:val="14"/>
              </w:rPr>
              <w:drawing>
                <wp:inline distT="0" distB="0" distL="0" distR="0" wp14:anchorId="7F6E24BC" wp14:editId="3F844E23">
                  <wp:extent cx="3023235" cy="1374140"/>
                  <wp:effectExtent l="0" t="0" r="0" b="0"/>
                  <wp:docPr id="4" name="Picture 4"/>
                  <wp:cNvGraphicFramePr/>
                  <a:graphic xmlns:a="http://schemas.openxmlformats.org/drawingml/2006/main">
                    <a:graphicData uri="http://schemas.openxmlformats.org/drawingml/2006/picture">
                      <pic:pic xmlns:pic="http://schemas.openxmlformats.org/drawingml/2006/picture">
                        <pic:nvPicPr>
                          <pic:cNvPr id="4" name="Picture 4"/>
                          <pic:cNvPicPr/>
                        </pic:nvPicPr>
                        <pic:blipFill dpi="0">
                          <a:blip r:embed="rId7"/>
                          <a:srcRect/>
                          <a:stretch>
                            <a:fillRect/>
                          </a:stretch>
                        </pic:blipFill>
                        <pic:spPr>
                          <a:xfrm>
                            <a:off x="0" y="0"/>
                            <a:ext cx="3023235" cy="1374140"/>
                          </a:xfrm>
                          <a:prstGeom prst="rect">
                            <a:avLst/>
                          </a:prstGeom>
                        </pic:spPr>
                      </pic:pic>
                    </a:graphicData>
                  </a:graphic>
                </wp:inline>
              </w:drawing>
            </w:r>
          </w:p>
        </w:tc>
        <w:tc>
          <w:tcPr>
            <w:tcW w:w="112" w:type="pct"/>
            <w:tcBorders>
              <w:top w:val="nil"/>
              <w:left w:val="nil"/>
              <w:bottom w:val="nil"/>
              <w:right w:val="nil"/>
            </w:tcBorders>
            <w:shd w:val="clear" w:color="auto" w:fill="auto"/>
            <w:tcMar>
              <w:top w:w="0" w:type="dxa"/>
              <w:left w:w="0" w:type="dxa"/>
              <w:bottom w:w="0" w:type="dxa"/>
              <w:right w:w="0" w:type="dxa"/>
            </w:tcMar>
          </w:tcPr>
          <w:p w14:paraId="04BABF8F" w14:textId="77777777" w:rsidR="00150A8F" w:rsidRDefault="00150A8F">
            <w:pPr>
              <w:keepNext/>
              <w:keepLines/>
              <w:spacing w:line="240" w:lineRule="auto"/>
              <w:rPr>
                <w:sz w:val="17"/>
                <w:szCs w:val="17"/>
              </w:rPr>
            </w:pPr>
          </w:p>
        </w:tc>
        <w:tc>
          <w:tcPr>
            <w:tcW w:w="2444" w:type="pct"/>
            <w:tcBorders>
              <w:top w:val="nil"/>
              <w:left w:val="nil"/>
              <w:bottom w:val="nil"/>
              <w:right w:val="nil"/>
            </w:tcBorders>
            <w:shd w:val="clear" w:color="auto" w:fill="auto"/>
            <w:tcMar>
              <w:top w:w="0" w:type="dxa"/>
              <w:left w:w="0" w:type="dxa"/>
              <w:bottom w:w="0" w:type="dxa"/>
              <w:right w:w="0" w:type="dxa"/>
            </w:tcMar>
          </w:tcPr>
          <w:p w14:paraId="0B538EB2" w14:textId="77777777" w:rsidR="00150A8F" w:rsidRDefault="00150A8F">
            <w:pPr>
              <w:keepNext/>
              <w:keepLines/>
              <w:spacing w:line="240" w:lineRule="auto"/>
              <w:rPr>
                <w:sz w:val="17"/>
                <w:szCs w:val="17"/>
              </w:rPr>
            </w:pPr>
          </w:p>
        </w:tc>
      </w:tr>
      <w:tr w:rsidR="00150A8F" w14:paraId="1CBD681A" w14:textId="77777777">
        <w:tc>
          <w:tcPr>
            <w:tcW w:w="2444" w:type="pct"/>
            <w:tcBorders>
              <w:top w:val="nil"/>
              <w:left w:val="nil"/>
              <w:bottom w:val="nil"/>
              <w:right w:val="nil"/>
            </w:tcBorders>
            <w:shd w:val="clear" w:color="auto" w:fill="auto"/>
            <w:tcMar>
              <w:top w:w="0" w:type="dxa"/>
              <w:left w:w="0" w:type="dxa"/>
              <w:bottom w:w="0" w:type="dxa"/>
              <w:right w:w="0" w:type="dxa"/>
            </w:tcMar>
          </w:tcPr>
          <w:p w14:paraId="552DAA7A" w14:textId="77777777" w:rsidR="00150A8F" w:rsidRDefault="00150A8F">
            <w:pPr>
              <w:keepNext/>
              <w:keepLines/>
              <w:spacing w:line="240" w:lineRule="auto"/>
              <w:rPr>
                <w:sz w:val="17"/>
                <w:szCs w:val="17"/>
              </w:rPr>
            </w:pPr>
          </w:p>
        </w:tc>
        <w:tc>
          <w:tcPr>
            <w:tcW w:w="112" w:type="pct"/>
            <w:tcBorders>
              <w:top w:val="nil"/>
              <w:left w:val="nil"/>
              <w:bottom w:val="nil"/>
              <w:right w:val="nil"/>
            </w:tcBorders>
            <w:shd w:val="clear" w:color="auto" w:fill="auto"/>
            <w:tcMar>
              <w:top w:w="0" w:type="dxa"/>
              <w:left w:w="0" w:type="dxa"/>
              <w:bottom w:w="0" w:type="dxa"/>
              <w:right w:w="0" w:type="dxa"/>
            </w:tcMar>
          </w:tcPr>
          <w:p w14:paraId="53F1E582" w14:textId="77777777" w:rsidR="00150A8F" w:rsidRDefault="00150A8F">
            <w:pPr>
              <w:keepNext/>
              <w:keepLines/>
              <w:spacing w:line="240" w:lineRule="auto"/>
              <w:rPr>
                <w:sz w:val="17"/>
                <w:szCs w:val="17"/>
              </w:rPr>
            </w:pPr>
          </w:p>
        </w:tc>
        <w:tc>
          <w:tcPr>
            <w:tcW w:w="2444" w:type="pct"/>
            <w:tcBorders>
              <w:top w:val="nil"/>
              <w:left w:val="nil"/>
              <w:bottom w:val="nil"/>
              <w:right w:val="nil"/>
            </w:tcBorders>
            <w:shd w:val="clear" w:color="auto" w:fill="auto"/>
            <w:tcMar>
              <w:top w:w="0" w:type="dxa"/>
              <w:left w:w="0" w:type="dxa"/>
              <w:bottom w:w="0" w:type="dxa"/>
              <w:right w:w="0" w:type="dxa"/>
            </w:tcMar>
          </w:tcPr>
          <w:p w14:paraId="01FE883E" w14:textId="77777777" w:rsidR="00150A8F" w:rsidRDefault="00150A8F">
            <w:pPr>
              <w:keepNext/>
              <w:keepLines/>
              <w:spacing w:line="240" w:lineRule="auto"/>
              <w:rPr>
                <w:sz w:val="17"/>
                <w:szCs w:val="17"/>
              </w:rPr>
            </w:pPr>
          </w:p>
        </w:tc>
      </w:tr>
      <w:tr w:rsidR="00150A8F" w14:paraId="03071F78" w14:textId="77777777">
        <w:tc>
          <w:tcPr>
            <w:tcW w:w="2444" w:type="pct"/>
            <w:tcBorders>
              <w:top w:val="nil"/>
              <w:left w:val="nil"/>
              <w:bottom w:val="nil"/>
              <w:right w:val="nil"/>
            </w:tcBorders>
            <w:shd w:val="clear" w:color="auto" w:fill="auto"/>
            <w:tcMar>
              <w:top w:w="0" w:type="dxa"/>
              <w:left w:w="0" w:type="dxa"/>
              <w:bottom w:w="0" w:type="dxa"/>
              <w:right w:w="0" w:type="dxa"/>
            </w:tcMar>
          </w:tcPr>
          <w:p w14:paraId="294F5C0E" w14:textId="77777777" w:rsidR="00150A8F" w:rsidRDefault="00150A8F">
            <w:pPr>
              <w:keepNext/>
              <w:keepLines/>
              <w:spacing w:line="240" w:lineRule="auto"/>
              <w:rPr>
                <w:sz w:val="17"/>
                <w:szCs w:val="17"/>
              </w:rPr>
            </w:pPr>
          </w:p>
        </w:tc>
        <w:tc>
          <w:tcPr>
            <w:tcW w:w="112" w:type="pct"/>
            <w:tcBorders>
              <w:top w:val="nil"/>
              <w:left w:val="nil"/>
              <w:bottom w:val="nil"/>
              <w:right w:val="nil"/>
            </w:tcBorders>
            <w:shd w:val="clear" w:color="auto" w:fill="auto"/>
            <w:tcMar>
              <w:top w:w="0" w:type="dxa"/>
              <w:left w:w="0" w:type="dxa"/>
              <w:bottom w:w="0" w:type="dxa"/>
              <w:right w:w="0" w:type="dxa"/>
            </w:tcMar>
          </w:tcPr>
          <w:p w14:paraId="648B4ED0" w14:textId="77777777" w:rsidR="00150A8F" w:rsidRDefault="00150A8F">
            <w:pPr>
              <w:keepNext/>
              <w:keepLines/>
              <w:spacing w:line="240" w:lineRule="auto"/>
              <w:rPr>
                <w:sz w:val="17"/>
                <w:szCs w:val="17"/>
              </w:rPr>
            </w:pPr>
          </w:p>
        </w:tc>
        <w:tc>
          <w:tcPr>
            <w:tcW w:w="2444" w:type="pct"/>
            <w:tcBorders>
              <w:top w:val="nil"/>
              <w:left w:val="nil"/>
              <w:bottom w:val="nil"/>
              <w:right w:val="nil"/>
            </w:tcBorders>
            <w:shd w:val="clear" w:color="auto" w:fill="auto"/>
            <w:tcMar>
              <w:top w:w="0" w:type="dxa"/>
              <w:left w:w="0" w:type="dxa"/>
              <w:bottom w:w="0" w:type="dxa"/>
              <w:right w:w="0" w:type="dxa"/>
            </w:tcMar>
          </w:tcPr>
          <w:p w14:paraId="4F5B7793" w14:textId="77777777" w:rsidR="00150A8F" w:rsidRDefault="00150A8F">
            <w:pPr>
              <w:keepNext/>
              <w:keepLines/>
              <w:spacing w:line="240" w:lineRule="auto"/>
              <w:rPr>
                <w:sz w:val="17"/>
                <w:szCs w:val="17"/>
              </w:rPr>
            </w:pPr>
          </w:p>
        </w:tc>
      </w:tr>
      <w:tr w:rsidR="00150A8F" w14:paraId="0CB5F47B" w14:textId="77777777">
        <w:tc>
          <w:tcPr>
            <w:tcW w:w="2444" w:type="pct"/>
            <w:tcBorders>
              <w:top w:val="nil"/>
              <w:left w:val="nil"/>
              <w:bottom w:val="nil"/>
              <w:right w:val="nil"/>
            </w:tcBorders>
            <w:shd w:val="clear" w:color="auto" w:fill="auto"/>
            <w:tcMar>
              <w:top w:w="0" w:type="dxa"/>
              <w:left w:w="0" w:type="dxa"/>
              <w:bottom w:w="0" w:type="dxa"/>
              <w:right w:w="0" w:type="dxa"/>
            </w:tcMar>
          </w:tcPr>
          <w:p w14:paraId="434EE2A2" w14:textId="77777777" w:rsidR="00150A8F" w:rsidRDefault="00150A8F">
            <w:pPr>
              <w:keepNext/>
              <w:keepLines/>
              <w:spacing w:line="240" w:lineRule="auto"/>
              <w:rPr>
                <w:sz w:val="17"/>
                <w:szCs w:val="17"/>
              </w:rPr>
            </w:pPr>
          </w:p>
        </w:tc>
        <w:tc>
          <w:tcPr>
            <w:tcW w:w="112" w:type="pct"/>
            <w:tcBorders>
              <w:top w:val="nil"/>
              <w:left w:val="nil"/>
              <w:bottom w:val="nil"/>
              <w:right w:val="nil"/>
            </w:tcBorders>
            <w:shd w:val="clear" w:color="auto" w:fill="auto"/>
            <w:tcMar>
              <w:top w:w="0" w:type="dxa"/>
              <w:left w:w="0" w:type="dxa"/>
              <w:bottom w:w="0" w:type="dxa"/>
              <w:right w:w="0" w:type="dxa"/>
            </w:tcMar>
          </w:tcPr>
          <w:p w14:paraId="445948DB" w14:textId="77777777" w:rsidR="00150A8F" w:rsidRDefault="00150A8F">
            <w:pPr>
              <w:keepNext/>
              <w:keepLines/>
              <w:spacing w:line="240" w:lineRule="auto"/>
              <w:rPr>
                <w:sz w:val="17"/>
                <w:szCs w:val="17"/>
              </w:rPr>
            </w:pPr>
          </w:p>
        </w:tc>
        <w:tc>
          <w:tcPr>
            <w:tcW w:w="2444" w:type="pct"/>
            <w:tcBorders>
              <w:top w:val="nil"/>
              <w:left w:val="nil"/>
              <w:bottom w:val="nil"/>
              <w:right w:val="nil"/>
            </w:tcBorders>
            <w:shd w:val="clear" w:color="auto" w:fill="auto"/>
            <w:tcMar>
              <w:top w:w="0" w:type="dxa"/>
              <w:left w:w="0" w:type="dxa"/>
              <w:bottom w:w="0" w:type="dxa"/>
              <w:right w:w="0" w:type="dxa"/>
            </w:tcMar>
          </w:tcPr>
          <w:p w14:paraId="304CC889" w14:textId="77777777" w:rsidR="00150A8F" w:rsidRDefault="00150A8F">
            <w:pPr>
              <w:keepNext/>
              <w:keepLines/>
              <w:spacing w:line="240" w:lineRule="auto"/>
              <w:rPr>
                <w:sz w:val="17"/>
                <w:szCs w:val="17"/>
              </w:rPr>
            </w:pPr>
          </w:p>
        </w:tc>
      </w:tr>
    </w:tbl>
    <w:p w14:paraId="3B70DBD0" w14:textId="77777777" w:rsidR="00150A8F" w:rsidRDefault="00154898">
      <w:pPr>
        <w:spacing w:line="240" w:lineRule="auto"/>
      </w:pPr>
      <w:r>
        <w:br w:type="page"/>
      </w:r>
    </w:p>
    <w:tbl>
      <w:tblPr>
        <w:tblStyle w:val="TabelleEinfach1"/>
        <w:tblW w:w="5000" w:type="pct"/>
        <w:tblLayout w:type="fixed"/>
        <w:tblCellMar>
          <w:left w:w="0" w:type="dxa"/>
          <w:right w:w="227" w:type="dxa"/>
        </w:tblCellMar>
        <w:tblLook w:val="04A0" w:firstRow="1" w:lastRow="0" w:firstColumn="1" w:lastColumn="0" w:noHBand="0" w:noVBand="1"/>
      </w:tblPr>
      <w:tblGrid>
        <w:gridCol w:w="3413"/>
        <w:gridCol w:w="3413"/>
        <w:gridCol w:w="2926"/>
      </w:tblGrid>
      <w:tr w:rsidR="00150A8F" w14:paraId="5EA5C48C" w14:textId="77777777">
        <w:tc>
          <w:tcPr>
            <w:tcW w:w="3500" w:type="pct"/>
            <w:gridSpan w:val="2"/>
            <w:tcBorders>
              <w:top w:val="nil"/>
              <w:left w:val="nil"/>
              <w:bottom w:val="nil"/>
              <w:right w:val="nil"/>
            </w:tcBorders>
            <w:shd w:val="clear" w:color="auto" w:fill="auto"/>
            <w:tcMar>
              <w:top w:w="0" w:type="dxa"/>
              <w:left w:w="0" w:type="dxa"/>
              <w:bottom w:w="0" w:type="dxa"/>
              <w:right w:w="227" w:type="dxa"/>
            </w:tcMar>
          </w:tcPr>
          <w:p w14:paraId="73AD9F30" w14:textId="77777777" w:rsidR="00150A8F" w:rsidRPr="00154898" w:rsidRDefault="00154898">
            <w:pPr>
              <w:spacing w:before="240" w:after="240"/>
              <w:rPr>
                <w:sz w:val="20"/>
                <w:szCs w:val="20"/>
                <w:lang w:val="en-GB"/>
              </w:rPr>
            </w:pPr>
            <w:proofErr w:type="spellStart"/>
            <w:r w:rsidRPr="00154898">
              <w:rPr>
                <w:b/>
                <w:sz w:val="20"/>
                <w:szCs w:val="20"/>
                <w:lang w:val="en-GB"/>
              </w:rPr>
              <w:lastRenderedPageBreak/>
              <w:t>Über</w:t>
            </w:r>
            <w:proofErr w:type="spellEnd"/>
            <w:r w:rsidRPr="00154898">
              <w:rPr>
                <w:b/>
                <w:sz w:val="20"/>
                <w:szCs w:val="20"/>
                <w:lang w:val="en-GB"/>
              </w:rPr>
              <w:t xml:space="preserve"> </w:t>
            </w:r>
            <w:proofErr w:type="spellStart"/>
            <w:r w:rsidRPr="00154898">
              <w:rPr>
                <w:b/>
                <w:sz w:val="20"/>
                <w:szCs w:val="20"/>
                <w:lang w:val="en-GB"/>
              </w:rPr>
              <w:t>Häfele</w:t>
            </w:r>
            <w:proofErr w:type="spellEnd"/>
          </w:p>
          <w:p w14:paraId="66C0F277" w14:textId="77777777" w:rsidR="00150A8F" w:rsidRDefault="00154898">
            <w:pPr>
              <w:spacing w:before="240" w:after="240"/>
              <w:rPr>
                <w:sz w:val="20"/>
                <w:szCs w:val="20"/>
              </w:rPr>
            </w:pPr>
            <w:r w:rsidRPr="00154898">
              <w:rPr>
                <w:b/>
                <w:sz w:val="20"/>
                <w:szCs w:val="20"/>
                <w:lang w:val="en-GB"/>
              </w:rPr>
              <w:t xml:space="preserve">Maximising the value of space. </w:t>
            </w:r>
            <w:proofErr w:type="spellStart"/>
            <w:r>
              <w:rPr>
                <w:b/>
                <w:sz w:val="20"/>
                <w:szCs w:val="20"/>
              </w:rPr>
              <w:t>Together</w:t>
            </w:r>
            <w:proofErr w:type="spellEnd"/>
            <w:r>
              <w:rPr>
                <w:b/>
                <w:sz w:val="20"/>
                <w:szCs w:val="20"/>
              </w:rPr>
              <w:t>.</w:t>
            </w:r>
          </w:p>
          <w:p w14:paraId="1322AD27" w14:textId="77777777" w:rsidR="00150A8F" w:rsidRDefault="00154898">
            <w:pPr>
              <w:spacing w:before="240" w:after="240"/>
              <w:rPr>
                <w:sz w:val="20"/>
                <w:szCs w:val="20"/>
              </w:rPr>
            </w:pPr>
            <w:r>
              <w:rPr>
                <w:sz w:val="20"/>
                <w:szCs w:val="20"/>
              </w:rPr>
              <w:t xml:space="preserve">Lebenswerte, nachhaltige Raumkonzepte für die Wohn- und Arbeitswelten von morgen zu </w:t>
            </w:r>
            <w:r>
              <w:rPr>
                <w:sz w:val="20"/>
                <w:szCs w:val="20"/>
              </w:rPr>
              <w:t>entwickeln, diesem Ziel hat sich Häfele verschrieben. Gemeinsam mit seinen Partnern schafft Häfele ressourcenschonende, multifunktionale Lösungen bei höchstem Komfort.</w:t>
            </w:r>
          </w:p>
          <w:p w14:paraId="3459768D" w14:textId="77777777" w:rsidR="00150A8F" w:rsidRDefault="00154898">
            <w:pPr>
              <w:spacing w:before="240" w:after="240"/>
              <w:rPr>
                <w:sz w:val="20"/>
                <w:szCs w:val="20"/>
              </w:rPr>
            </w:pPr>
            <w:r>
              <w:rPr>
                <w:sz w:val="20"/>
                <w:szCs w:val="20"/>
              </w:rPr>
              <w:t>Der 1923 gegründete, global agierende Spezialist für intelligente Beschlagtechnik, elektronische Schließsysteme sowie Beleuchtung und Vernetzung bietet seinen Kunden aus über 150 Ländern eine einzigartige 360°-Kompetenz. Mit einem umfassenden Produktsortiment, zahlreichen Serviceleistungen und viel Innovationsgeist steht das Familienunternehmen seinen Partnern aus Handwerk, Möbelindustrie, Handel und Architektur als verlässlicher Partner zur Seite - von der Ideenfindung über die Planung bis zur Umsetzung ih</w:t>
            </w:r>
            <w:r>
              <w:rPr>
                <w:sz w:val="20"/>
                <w:szCs w:val="20"/>
              </w:rPr>
              <w:t>rer Projekte.</w:t>
            </w:r>
          </w:p>
          <w:p w14:paraId="6725E0B4" w14:textId="77777777" w:rsidR="00150A8F" w:rsidRDefault="00154898">
            <w:pPr>
              <w:spacing w:before="240" w:after="240"/>
              <w:rPr>
                <w:sz w:val="20"/>
                <w:szCs w:val="20"/>
              </w:rPr>
            </w:pPr>
            <w:r>
              <w:rPr>
                <w:sz w:val="20"/>
                <w:szCs w:val="20"/>
              </w:rPr>
              <w:t xml:space="preserve">Über 8.000 Mitarbeitende sowie 38 Tochterunternehmen und zahlreiche weitere Vertretungen in aller Welt bilden das Team des Global Players mit Hauptsitz in Nagold im Schwarzwald. Die Unternehmensgruppe wird seit Januar 2023 von Gregor </w:t>
            </w:r>
            <w:proofErr w:type="spellStart"/>
            <w:r>
              <w:rPr>
                <w:sz w:val="20"/>
                <w:szCs w:val="20"/>
              </w:rPr>
              <w:t>Riekena</w:t>
            </w:r>
            <w:proofErr w:type="spellEnd"/>
            <w:r>
              <w:rPr>
                <w:sz w:val="20"/>
                <w:szCs w:val="20"/>
              </w:rPr>
              <w:t xml:space="preserve"> geführt. Sibylle Thierer vertritt als Vorsitzende des Verwaltungsrats die Interessen der Gesellschafterfamilien. Im Geschäftsjahr 2023 erzielte die Häfele Gruppe einen Umsatz von 1,71 Mrd. Euro bei einem Exportanteil von 82%.</w:t>
            </w:r>
          </w:p>
          <w:p w14:paraId="332A3F4B" w14:textId="77777777" w:rsidR="00150A8F" w:rsidRDefault="00154898">
            <w:pPr>
              <w:spacing w:before="240" w:after="240"/>
              <w:rPr>
                <w:sz w:val="20"/>
                <w:szCs w:val="20"/>
              </w:rPr>
            </w:pPr>
            <w:r>
              <w:rPr>
                <w:sz w:val="20"/>
                <w:szCs w:val="20"/>
              </w:rPr>
              <w:t xml:space="preserve">Weitere Informationen unter </w:t>
            </w:r>
            <w:hyperlink r:id="rId8">
              <w:r>
                <w:rPr>
                  <w:rStyle w:val="Hyperlink"/>
                  <w:color w:val="000000"/>
                  <w:sz w:val="20"/>
                  <w:szCs w:val="20"/>
                </w:rPr>
                <w:t>www.haefele.de</w:t>
              </w:r>
            </w:hyperlink>
          </w:p>
          <w:p w14:paraId="76CAFB48" w14:textId="77777777" w:rsidR="00150A8F" w:rsidRDefault="00154898">
            <w:pPr>
              <w:rPr>
                <w:sz w:val="20"/>
                <w:szCs w:val="20"/>
              </w:rPr>
            </w:pPr>
            <w:r>
              <w:rPr>
                <w:sz w:val="20"/>
                <w:szCs w:val="20"/>
              </w:rPr>
              <w:br/>
            </w:r>
          </w:p>
        </w:tc>
        <w:tc>
          <w:tcPr>
            <w:tcW w:w="1500" w:type="pct"/>
            <w:tcBorders>
              <w:top w:val="nil"/>
              <w:left w:val="nil"/>
              <w:bottom w:val="nil"/>
              <w:right w:val="nil"/>
            </w:tcBorders>
            <w:shd w:val="clear" w:color="auto" w:fill="auto"/>
            <w:tcMar>
              <w:top w:w="0" w:type="dxa"/>
              <w:left w:w="0" w:type="dxa"/>
              <w:bottom w:w="0" w:type="dxa"/>
              <w:right w:w="227" w:type="dxa"/>
            </w:tcMar>
          </w:tcPr>
          <w:p w14:paraId="6416ED98" w14:textId="77777777" w:rsidR="00150A8F" w:rsidRDefault="00154898">
            <w:pPr>
              <w:rPr>
                <w:sz w:val="20"/>
                <w:szCs w:val="20"/>
              </w:rPr>
            </w:pPr>
            <w:r>
              <w:rPr>
                <w:sz w:val="20"/>
                <w:szCs w:val="20"/>
              </w:rPr>
              <w:br/>
            </w:r>
          </w:p>
        </w:tc>
      </w:tr>
      <w:tr w:rsidR="00150A8F" w14:paraId="04DE7249" w14:textId="77777777">
        <w:trPr>
          <w:gridAfter w:val="1"/>
          <w:wAfter w:w="2160" w:type="dxa"/>
        </w:trPr>
        <w:tc>
          <w:tcPr>
            <w:tcW w:w="2520" w:type="dxa"/>
            <w:tcBorders>
              <w:top w:val="nil"/>
              <w:left w:val="nil"/>
              <w:bottom w:val="nil"/>
              <w:right w:val="nil"/>
            </w:tcBorders>
            <w:shd w:val="clear" w:color="auto" w:fill="auto"/>
            <w:tcMar>
              <w:top w:w="0" w:type="dxa"/>
              <w:left w:w="0" w:type="dxa"/>
              <w:bottom w:w="0" w:type="dxa"/>
              <w:right w:w="227" w:type="dxa"/>
            </w:tcMar>
          </w:tcPr>
          <w:p w14:paraId="18721105" w14:textId="77777777" w:rsidR="00150A8F" w:rsidRDefault="00150A8F">
            <w:pPr>
              <w:rPr>
                <w:sz w:val="20"/>
                <w:szCs w:val="20"/>
              </w:rPr>
            </w:pPr>
          </w:p>
        </w:tc>
        <w:tc>
          <w:tcPr>
            <w:tcW w:w="2520" w:type="dxa"/>
            <w:tcBorders>
              <w:top w:val="nil"/>
              <w:left w:val="nil"/>
              <w:bottom w:val="nil"/>
              <w:right w:val="nil"/>
            </w:tcBorders>
            <w:shd w:val="clear" w:color="auto" w:fill="auto"/>
            <w:tcMar>
              <w:top w:w="0" w:type="dxa"/>
              <w:left w:w="0" w:type="dxa"/>
              <w:bottom w:w="0" w:type="dxa"/>
              <w:right w:w="227" w:type="dxa"/>
            </w:tcMar>
          </w:tcPr>
          <w:p w14:paraId="6B039E57" w14:textId="77777777" w:rsidR="00150A8F" w:rsidRDefault="00150A8F">
            <w:pPr>
              <w:rPr>
                <w:sz w:val="20"/>
                <w:szCs w:val="20"/>
              </w:rPr>
            </w:pPr>
          </w:p>
        </w:tc>
      </w:tr>
    </w:tbl>
    <w:p w14:paraId="64D3059A" w14:textId="77777777" w:rsidR="00150A8F" w:rsidRDefault="00154898">
      <w:pPr>
        <w:spacing w:line="240" w:lineRule="auto"/>
      </w:pPr>
      <w:r>
        <w:br/>
      </w:r>
    </w:p>
    <w:tbl>
      <w:tblPr>
        <w:tblStyle w:val="TabelleEinfach1"/>
        <w:tblW w:w="5000" w:type="pct"/>
        <w:tblLayout w:type="fixed"/>
        <w:tblCellMar>
          <w:left w:w="0" w:type="dxa"/>
          <w:right w:w="227" w:type="dxa"/>
        </w:tblCellMar>
        <w:tblLook w:val="04A0" w:firstRow="1" w:lastRow="0" w:firstColumn="1" w:lastColumn="0" w:noHBand="0" w:noVBand="1"/>
      </w:tblPr>
      <w:tblGrid>
        <w:gridCol w:w="3413"/>
        <w:gridCol w:w="3413"/>
        <w:gridCol w:w="2926"/>
      </w:tblGrid>
      <w:tr w:rsidR="00150A8F" w14:paraId="3D05A2DF" w14:textId="77777777">
        <w:tc>
          <w:tcPr>
            <w:tcW w:w="3500" w:type="pct"/>
            <w:gridSpan w:val="2"/>
            <w:tcBorders>
              <w:top w:val="nil"/>
              <w:left w:val="nil"/>
              <w:bottom w:val="nil"/>
              <w:right w:val="nil"/>
            </w:tcBorders>
            <w:shd w:val="clear" w:color="auto" w:fill="auto"/>
            <w:tcMar>
              <w:top w:w="0" w:type="dxa"/>
              <w:left w:w="0" w:type="dxa"/>
              <w:bottom w:w="0" w:type="dxa"/>
              <w:right w:w="227" w:type="dxa"/>
            </w:tcMar>
          </w:tcPr>
          <w:p w14:paraId="0E8ACFCC" w14:textId="77777777" w:rsidR="00150A8F" w:rsidRDefault="00154898">
            <w:pPr>
              <w:rPr>
                <w:sz w:val="20"/>
                <w:szCs w:val="20"/>
              </w:rPr>
            </w:pPr>
            <w:r>
              <w:rPr>
                <w:b/>
                <w:sz w:val="20"/>
                <w:szCs w:val="20"/>
              </w:rPr>
              <w:t>QR-Code der Medieninformation</w:t>
            </w:r>
          </w:p>
        </w:tc>
        <w:tc>
          <w:tcPr>
            <w:tcW w:w="1500" w:type="pct"/>
            <w:tcBorders>
              <w:top w:val="nil"/>
              <w:left w:val="nil"/>
              <w:bottom w:val="nil"/>
              <w:right w:val="nil"/>
            </w:tcBorders>
            <w:shd w:val="clear" w:color="auto" w:fill="auto"/>
            <w:tcMar>
              <w:top w:w="0" w:type="dxa"/>
              <w:left w:w="0" w:type="dxa"/>
              <w:bottom w:w="0" w:type="dxa"/>
              <w:right w:w="227" w:type="dxa"/>
            </w:tcMar>
          </w:tcPr>
          <w:p w14:paraId="7E527955" w14:textId="77777777" w:rsidR="00150A8F" w:rsidRDefault="00154898">
            <w:pPr>
              <w:rPr>
                <w:sz w:val="20"/>
                <w:szCs w:val="20"/>
              </w:rPr>
            </w:pPr>
            <w:r>
              <w:rPr>
                <w:sz w:val="20"/>
                <w:szCs w:val="20"/>
              </w:rPr>
              <w:br/>
            </w:r>
          </w:p>
        </w:tc>
      </w:tr>
      <w:tr w:rsidR="00150A8F" w14:paraId="203584DA" w14:textId="77777777">
        <w:trPr>
          <w:gridAfter w:val="1"/>
          <w:wAfter w:w="2160" w:type="dxa"/>
        </w:trPr>
        <w:tc>
          <w:tcPr>
            <w:tcW w:w="2520" w:type="dxa"/>
            <w:tcBorders>
              <w:top w:val="nil"/>
              <w:left w:val="nil"/>
              <w:bottom w:val="nil"/>
              <w:right w:val="nil"/>
            </w:tcBorders>
            <w:shd w:val="clear" w:color="auto" w:fill="auto"/>
            <w:tcMar>
              <w:top w:w="0" w:type="dxa"/>
              <w:left w:w="0" w:type="dxa"/>
              <w:bottom w:w="0" w:type="dxa"/>
              <w:right w:w="227" w:type="dxa"/>
            </w:tcMar>
          </w:tcPr>
          <w:p w14:paraId="1C461B8E" w14:textId="77777777" w:rsidR="00150A8F" w:rsidRDefault="00150A8F">
            <w:pPr>
              <w:rPr>
                <w:sz w:val="20"/>
                <w:szCs w:val="20"/>
              </w:rPr>
            </w:pPr>
          </w:p>
        </w:tc>
        <w:tc>
          <w:tcPr>
            <w:tcW w:w="2520" w:type="dxa"/>
            <w:tcBorders>
              <w:top w:val="nil"/>
              <w:left w:val="nil"/>
              <w:bottom w:val="nil"/>
              <w:right w:val="nil"/>
            </w:tcBorders>
            <w:shd w:val="clear" w:color="auto" w:fill="auto"/>
            <w:tcMar>
              <w:top w:w="0" w:type="dxa"/>
              <w:left w:w="0" w:type="dxa"/>
              <w:bottom w:w="0" w:type="dxa"/>
              <w:right w:w="227" w:type="dxa"/>
            </w:tcMar>
          </w:tcPr>
          <w:p w14:paraId="489BE88F" w14:textId="77777777" w:rsidR="00150A8F" w:rsidRDefault="00150A8F">
            <w:pPr>
              <w:rPr>
                <w:sz w:val="20"/>
                <w:szCs w:val="20"/>
              </w:rPr>
            </w:pPr>
          </w:p>
        </w:tc>
      </w:tr>
    </w:tbl>
    <w:p w14:paraId="40365CF0" w14:textId="77777777" w:rsidR="00150A8F" w:rsidRDefault="00154898">
      <w:r>
        <w:rPr>
          <w:noProof/>
          <w:sz w:val="18"/>
          <w:szCs w:val="18"/>
        </w:rPr>
        <w:drawing>
          <wp:inline distT="0" distB="0" distL="0" distR="0" wp14:anchorId="51B668B5" wp14:editId="5DDBD958">
            <wp:extent cx="1800860" cy="1800860"/>
            <wp:effectExtent l="0" t="0" r="0" b="0"/>
            <wp:docPr id="5" name="Picture 5"/>
            <wp:cNvGraphicFramePr/>
            <a:graphic xmlns:a="http://schemas.openxmlformats.org/drawingml/2006/main">
              <a:graphicData uri="http://schemas.openxmlformats.org/drawingml/2006/picture">
                <pic:pic xmlns:pic="http://schemas.openxmlformats.org/drawingml/2006/picture">
                  <pic:nvPicPr>
                    <pic:cNvPr id="5" name="Picture 5"/>
                    <pic:cNvPicPr/>
                  </pic:nvPicPr>
                  <pic:blipFill dpi="0">
                    <a:blip r:embed="rId9"/>
                    <a:srcRect/>
                    <a:stretch>
                      <a:fillRect/>
                    </a:stretch>
                  </pic:blipFill>
                  <pic:spPr>
                    <a:xfrm>
                      <a:off x="0" y="0"/>
                      <a:ext cx="1800860" cy="1800860"/>
                    </a:xfrm>
                    <a:prstGeom prst="rect">
                      <a:avLst/>
                    </a:prstGeom>
                  </pic:spPr>
                </pic:pic>
              </a:graphicData>
            </a:graphic>
          </wp:inline>
        </w:drawing>
      </w:r>
      <w:r>
        <w:rPr>
          <w:sz w:val="18"/>
          <w:szCs w:val="18"/>
        </w:rPr>
        <w:br/>
      </w:r>
    </w:p>
    <w:sectPr w:rsidR="00150A8F">
      <w:headerReference w:type="default" r:id="rId10"/>
      <w:footerReference w:type="default" r:id="rId11"/>
      <w:headerReference w:type="first" r:id="rId12"/>
      <w:footerReference w:type="first" r:id="rId13"/>
      <w:pgSz w:w="11906" w:h="16838"/>
      <w:pgMar w:top="2154" w:right="1020" w:bottom="1134" w:left="1134" w:header="850" w:footer="283"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03E610E" w14:textId="77777777" w:rsidR="00154898" w:rsidRDefault="00154898">
      <w:pPr>
        <w:spacing w:line="240" w:lineRule="auto"/>
      </w:pPr>
      <w:r>
        <w:separator/>
      </w:r>
    </w:p>
  </w:endnote>
  <w:endnote w:type="continuationSeparator" w:id="0">
    <w:p w14:paraId="417E12AC" w14:textId="77777777" w:rsidR="00154898" w:rsidRDefault="00154898">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elleEinfach1"/>
      <w:tblW w:w="5000" w:type="pct"/>
      <w:tblLayout w:type="fixed"/>
      <w:tblLook w:val="04A0" w:firstRow="1" w:lastRow="0" w:firstColumn="1" w:lastColumn="0" w:noHBand="0" w:noVBand="1"/>
    </w:tblPr>
    <w:tblGrid>
      <w:gridCol w:w="9557"/>
      <w:gridCol w:w="195"/>
    </w:tblGrid>
    <w:tr w:rsidR="00150A8F" w14:paraId="698F91CC" w14:textId="77777777">
      <w:tc>
        <w:tcPr>
          <w:tcW w:w="4900" w:type="pct"/>
          <w:tcBorders>
            <w:top w:val="nil"/>
            <w:left w:val="nil"/>
            <w:bottom w:val="nil"/>
            <w:right w:val="nil"/>
          </w:tcBorders>
          <w:shd w:val="clear" w:color="auto" w:fill="auto"/>
          <w:tcMar>
            <w:top w:w="0" w:type="dxa"/>
            <w:left w:w="0" w:type="dxa"/>
            <w:bottom w:w="0" w:type="dxa"/>
            <w:right w:w="0" w:type="dxa"/>
          </w:tcMar>
          <w:vAlign w:val="bottom"/>
        </w:tcPr>
        <w:p w14:paraId="2065D8A9" w14:textId="77777777" w:rsidR="00150A8F" w:rsidRDefault="00150A8F">
          <w:pPr>
            <w:rPr>
              <w:sz w:val="14"/>
              <w:szCs w:val="14"/>
            </w:rPr>
          </w:pPr>
        </w:p>
      </w:tc>
      <w:tc>
        <w:tcPr>
          <w:tcW w:w="100" w:type="pct"/>
          <w:tcBorders>
            <w:top w:val="nil"/>
            <w:left w:val="nil"/>
            <w:bottom w:val="nil"/>
            <w:right w:val="nil"/>
          </w:tcBorders>
          <w:shd w:val="clear" w:color="auto" w:fill="auto"/>
          <w:tcMar>
            <w:top w:w="0" w:type="dxa"/>
            <w:left w:w="0" w:type="dxa"/>
            <w:bottom w:w="0" w:type="dxa"/>
            <w:right w:w="0" w:type="dxa"/>
          </w:tcMar>
          <w:vAlign w:val="bottom"/>
        </w:tcPr>
        <w:p w14:paraId="7E359B31" w14:textId="77777777" w:rsidR="00150A8F" w:rsidRDefault="00150A8F">
          <w:pPr>
            <w:rPr>
              <w:sz w:val="14"/>
              <w:szCs w:val="14"/>
            </w:rPr>
          </w:pPr>
        </w:p>
      </w:tc>
    </w:tr>
  </w:tbl>
  <w:p w14:paraId="43D927A2" w14:textId="77777777" w:rsidR="00150A8F" w:rsidRDefault="00150A8F">
    <w:pPr>
      <w:rPr>
        <w:sz w:val="2"/>
        <w:szCs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elleEinfach1"/>
      <w:tblW w:w="5000" w:type="pct"/>
      <w:tblLayout w:type="fixed"/>
      <w:tblCellMar>
        <w:left w:w="0" w:type="dxa"/>
        <w:right w:w="0" w:type="dxa"/>
      </w:tblCellMar>
      <w:tblLook w:val="04A0" w:firstRow="1" w:lastRow="0" w:firstColumn="1" w:lastColumn="0" w:noHBand="0" w:noVBand="1"/>
    </w:tblPr>
    <w:tblGrid>
      <w:gridCol w:w="9557"/>
      <w:gridCol w:w="195"/>
    </w:tblGrid>
    <w:tr w:rsidR="00150A8F" w14:paraId="09BA5675" w14:textId="77777777">
      <w:tc>
        <w:tcPr>
          <w:tcW w:w="4900" w:type="pct"/>
          <w:tcBorders>
            <w:top w:val="nil"/>
            <w:left w:val="nil"/>
            <w:bottom w:val="nil"/>
            <w:right w:val="nil"/>
          </w:tcBorders>
          <w:shd w:val="clear" w:color="auto" w:fill="auto"/>
          <w:tcMar>
            <w:top w:w="0" w:type="dxa"/>
            <w:left w:w="0" w:type="dxa"/>
            <w:bottom w:w="0" w:type="dxa"/>
            <w:right w:w="0" w:type="dxa"/>
          </w:tcMar>
          <w:vAlign w:val="bottom"/>
        </w:tcPr>
        <w:p w14:paraId="50A33647" w14:textId="77777777" w:rsidR="00150A8F" w:rsidRDefault="00150A8F">
          <w:pPr>
            <w:rPr>
              <w:sz w:val="14"/>
              <w:szCs w:val="14"/>
            </w:rPr>
          </w:pPr>
        </w:p>
      </w:tc>
      <w:tc>
        <w:tcPr>
          <w:tcW w:w="100" w:type="pct"/>
          <w:tcBorders>
            <w:top w:val="nil"/>
            <w:left w:val="nil"/>
            <w:bottom w:val="nil"/>
            <w:right w:val="nil"/>
          </w:tcBorders>
          <w:shd w:val="clear" w:color="auto" w:fill="auto"/>
          <w:tcMar>
            <w:top w:w="0" w:type="dxa"/>
            <w:left w:w="0" w:type="dxa"/>
            <w:bottom w:w="0" w:type="dxa"/>
            <w:right w:w="0" w:type="dxa"/>
          </w:tcMar>
          <w:vAlign w:val="bottom"/>
        </w:tcPr>
        <w:p w14:paraId="20662586" w14:textId="77777777" w:rsidR="00150A8F" w:rsidRDefault="00150A8F">
          <w:pPr>
            <w:rPr>
              <w:sz w:val="14"/>
              <w:szCs w:val="14"/>
            </w:rPr>
          </w:pPr>
        </w:p>
      </w:tc>
    </w:tr>
  </w:tbl>
  <w:p w14:paraId="4C9372A3" w14:textId="77777777" w:rsidR="00150A8F" w:rsidRDefault="00150A8F">
    <w:pPr>
      <w:rPr>
        <w:sz w:val="2"/>
        <w:szCs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AE5E48F" w14:textId="77777777" w:rsidR="00154898" w:rsidRDefault="00154898">
      <w:pPr>
        <w:spacing w:line="240" w:lineRule="auto"/>
      </w:pPr>
      <w:r>
        <w:separator/>
      </w:r>
    </w:p>
  </w:footnote>
  <w:footnote w:type="continuationSeparator" w:id="0">
    <w:p w14:paraId="1FCC33C4" w14:textId="77777777" w:rsidR="00154898" w:rsidRDefault="00154898">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1EB8B4" w14:textId="77777777" w:rsidR="00150A8F" w:rsidRDefault="00154898">
    <w:r>
      <w:rPr>
        <w:noProof/>
      </w:rPr>
      <w:drawing>
        <wp:anchor distT="0" distB="0" distL="114300" distR="114300" simplePos="0" relativeHeight="251659264" behindDoc="0" locked="0" layoutInCell="0" allowOverlap="0" wp14:anchorId="170501A2" wp14:editId="361C6F75">
          <wp:simplePos x="0" y="0"/>
          <wp:positionH relativeFrom="page">
            <wp:posOffset>5147945</wp:posOffset>
          </wp:positionH>
          <wp:positionV relativeFrom="page">
            <wp:posOffset>539750</wp:posOffset>
          </wp:positionV>
          <wp:extent cx="1235710" cy="588010"/>
          <wp:effectExtent l="0" t="0" r="0" b="0"/>
          <wp:wrapSquare wrapText="bothSides"/>
          <wp:docPr id="2" name="Picture 2"/>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dpi="0">
                  <a:blip r:embed="rId1"/>
                  <a:srcRect/>
                  <a:stretch>
                    <a:fillRect/>
                  </a:stretch>
                </pic:blipFill>
                <pic:spPr>
                  <a:xfrm>
                    <a:off x="0" y="0"/>
                    <a:ext cx="1235710" cy="588010"/>
                  </a:xfrm>
                  <a:prstGeom prst="rect">
                    <a:avLst/>
                  </a:prstGeom>
                </pic:spPr>
              </pic:pic>
            </a:graphicData>
          </a:graphic>
        </wp:anchor>
      </w:drawing>
    </w:r>
    <w:r>
      <w:rPr>
        <w:rFonts w:eastAsia="Arial"/>
        <w:b/>
      </w:rPr>
      <w:t>PRESSE-INFORMATION</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EA9D3D" w14:textId="77777777" w:rsidR="00150A8F" w:rsidRDefault="00154898">
    <w:r>
      <w:rPr>
        <w:noProof/>
      </w:rPr>
      <w:drawing>
        <wp:anchor distT="0" distB="0" distL="114300" distR="114300" simplePos="0" relativeHeight="251658240" behindDoc="0" locked="0" layoutInCell="0" allowOverlap="0" wp14:anchorId="7BEC998B" wp14:editId="3ECB529F">
          <wp:simplePos x="0" y="0"/>
          <wp:positionH relativeFrom="page">
            <wp:posOffset>5147945</wp:posOffset>
          </wp:positionH>
          <wp:positionV relativeFrom="page">
            <wp:posOffset>539750</wp:posOffset>
          </wp:positionV>
          <wp:extent cx="1235710" cy="588010"/>
          <wp:effectExtent l="0" t="0" r="0" b="0"/>
          <wp:wrapSquare wrapText="bothSides"/>
          <wp:docPr id="1" name="Picture 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dpi="0">
                  <a:blip r:embed="rId1"/>
                  <a:srcRect/>
                  <a:stretch>
                    <a:fillRect/>
                  </a:stretch>
                </pic:blipFill>
                <pic:spPr>
                  <a:xfrm>
                    <a:off x="0" y="0"/>
                    <a:ext cx="1235710" cy="588010"/>
                  </a:xfrm>
                  <a:prstGeom prst="rect">
                    <a:avLst/>
                  </a:prstGeom>
                </pic:spPr>
              </pic:pic>
            </a:graphicData>
          </a:graphic>
        </wp:anchor>
      </w:drawing>
    </w:r>
    <w:r>
      <w:rPr>
        <w:rFonts w:eastAsia="Arial"/>
        <w:b/>
      </w:rPr>
      <w:t>PRESSE-INFORMATION</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compressPunctuation"/>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0A8F"/>
    <w:rsid w:val="00150A8F"/>
    <w:rsid w:val="00154898"/>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6C2AF6"/>
  <w15:docId w15:val="{00923190-54E7-4786-973F-B009BD5E47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EastAsia" w:hAnsi="Arial" w:cs="Arial"/>
        <w:color w:val="000000"/>
        <w:sz w:val="24"/>
        <w:szCs w:val="24"/>
        <w:lang w:val="de-DE" w:eastAsia="de-DE" w:bidi="ar-SA"/>
      </w:rPr>
    </w:rPrDefault>
    <w:pPrDefault>
      <w:pPr>
        <w:spacing w:line="28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Zeilennummer">
    <w:name w:val="line number"/>
    <w:basedOn w:val="Absatz-Standardschriftart"/>
    <w:semiHidden/>
  </w:style>
  <w:style w:type="character" w:styleId="Hyperlink">
    <w:name w:val="Hyperlink"/>
    <w:rPr>
      <w:color w:val="0000FF"/>
      <w:u w:val="single"/>
    </w:rPr>
  </w:style>
  <w:style w:type="table" w:styleId="TabelleEinfach1">
    <w:name w:val="Table Simple 1"/>
    <w:basedOn w:val="NormaleTabell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s://www.haefele.de/de/" TargetMode="External"/><Relationship Id="rId13"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image" Target="media/image2.jpg"/><Relationship Id="rId12"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g"/><Relationship Id="rId11" Type="http://schemas.openxmlformats.org/officeDocument/2006/relationships/footer" Target="footer1.xml"/><Relationship Id="rId5" Type="http://schemas.openxmlformats.org/officeDocument/2006/relationships/endnotes" Target="endnote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footnotes" Target="footnotes.xml"/><Relationship Id="rId9" Type="http://schemas.openxmlformats.org/officeDocument/2006/relationships/image" Target="media/image3.png"/><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_rels/header2.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mpd="sng" algn="ctr">
          <a:solidFill>
            <a:schemeClr val="phClr">
              <a:shade val="95000"/>
              <a:satMod val="105000"/>
            </a:schemeClr>
          </a:solidFill>
          <a:prstDash val="solid"/>
        </a:ln>
        <a:ln w="25400" cmpd="sng" algn="ctr">
          <a:solidFill>
            <a:schemeClr val="phClr"/>
          </a:solidFill>
          <a:prstDash val="solid"/>
        </a:ln>
        <a:ln w="38100"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451</Words>
  <Characters>2846</Characters>
  <Application>Microsoft Office Word</Application>
  <DocSecurity>0</DocSecurity>
  <Lines>23</Lines>
  <Paragraphs>6</Paragraphs>
  <ScaleCrop>false</ScaleCrop>
  <Company/>
  <LinksUpToDate>false</LinksUpToDate>
  <CharactersWithSpaces>3291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Susanne Dubbert</dc:creator>
  <cp:lastModifiedBy>Susanne Dubbert</cp:lastModifiedBy>
  <cp:revision>2</cp:revision>
  <dcterms:created xsi:type="dcterms:W3CDTF">2024-03-15T13:03:00Z</dcterms:created>
  <dcterms:modified xsi:type="dcterms:W3CDTF">2024-03-15T13:03:00Z</dcterms:modified>
</cp:coreProperties>
</file>