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E955C" w14:textId="77777777" w:rsidR="00151AF9" w:rsidRDefault="005E628E">
      <w:pPr>
        <w:rPr>
          <w:rFonts w:eastAsia="Arial"/>
          <w:sz w:val="8"/>
          <w:szCs w:val="8"/>
        </w:rPr>
      </w:pPr>
      <w:r>
        <w:rPr>
          <w:b/>
          <w:bCs/>
          <w:sz w:val="32"/>
          <w:szCs w:val="32"/>
        </w:rPr>
        <w:t>Pressemappe Holz-Handwerk 2024</w:t>
      </w:r>
      <w:r>
        <w:rPr>
          <w:b/>
          <w:bCs/>
          <w:sz w:val="32"/>
          <w:szCs w:val="32"/>
        </w:rPr>
        <w:br/>
      </w:r>
      <w:r>
        <w:rPr>
          <w:rFonts w:eastAsia="Arial"/>
        </w:rPr>
        <w:t>Häfele auf der Messe Holz-Handwerk 2024</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151AF9" w14:paraId="0CEBC75E"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2214A432" w14:textId="77777777" w:rsidR="00151AF9" w:rsidRDefault="005E628E">
            <w:pPr>
              <w:rPr>
                <w:sz w:val="18"/>
                <w:szCs w:val="18"/>
              </w:rPr>
            </w:pPr>
            <w:r>
              <w:rPr>
                <w:noProof/>
                <w:sz w:val="18"/>
                <w:szCs w:val="18"/>
              </w:rPr>
              <w:drawing>
                <wp:inline distT="0" distB="0" distL="0" distR="0" wp14:anchorId="6580A950" wp14:editId="13EC3E01">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4C4C1346" w14:textId="77777777" w:rsidR="00151AF9" w:rsidRDefault="005E628E">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151AF9" w14:paraId="3CC15069"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1D8C5221" w14:textId="77777777" w:rsidR="00151AF9" w:rsidRDefault="005E628E">
            <w:pPr>
              <w:spacing w:after="240"/>
              <w:rPr>
                <w:sz w:val="20"/>
                <w:szCs w:val="20"/>
              </w:rPr>
            </w:pPr>
            <w:r>
              <w:rPr>
                <w:i/>
                <w:sz w:val="20"/>
                <w:szCs w:val="20"/>
              </w:rPr>
              <w:t>Was das Handwerk bewegt, treibt Häfele an: In Zeiten von Digitalisierung, Fachkräftemangel und wirtschaftlichen Unsicherheiten im Holzhandwerk braucht es auf vielen Ebenen neue Denkansätze. Häfele nimmt diese Herausforderungen an und geht den Weg gemeinsam mit seinen Kunden – als verlässlicher Partner, der über Produkte hinaus in Lösungen denkt. Gemäß seinem Leitmotiv „</w:t>
            </w:r>
            <w:proofErr w:type="spellStart"/>
            <w:r>
              <w:rPr>
                <w:i/>
                <w:sz w:val="20"/>
                <w:szCs w:val="20"/>
              </w:rPr>
              <w:t>Maximising</w:t>
            </w:r>
            <w:proofErr w:type="spellEnd"/>
            <w:r>
              <w:rPr>
                <w:i/>
                <w:sz w:val="20"/>
                <w:szCs w:val="20"/>
              </w:rPr>
              <w:t xml:space="preserve"> </w:t>
            </w:r>
            <w:proofErr w:type="spellStart"/>
            <w:r>
              <w:rPr>
                <w:i/>
                <w:sz w:val="20"/>
                <w:szCs w:val="20"/>
              </w:rPr>
              <w:t>the</w:t>
            </w:r>
            <w:proofErr w:type="spellEnd"/>
            <w:r>
              <w:rPr>
                <w:i/>
                <w:sz w:val="20"/>
                <w:szCs w:val="20"/>
              </w:rPr>
              <w:t xml:space="preserve"> </w:t>
            </w:r>
            <w:proofErr w:type="spellStart"/>
            <w:r>
              <w:rPr>
                <w:i/>
                <w:sz w:val="20"/>
                <w:szCs w:val="20"/>
              </w:rPr>
              <w:t>value</w:t>
            </w:r>
            <w:proofErr w:type="spellEnd"/>
            <w:r>
              <w:rPr>
                <w:i/>
                <w:sz w:val="20"/>
                <w:szCs w:val="20"/>
              </w:rPr>
              <w:t xml:space="preserve"> </w:t>
            </w:r>
            <w:proofErr w:type="spellStart"/>
            <w:r>
              <w:rPr>
                <w:i/>
                <w:sz w:val="20"/>
                <w:szCs w:val="20"/>
              </w:rPr>
              <w:t>of</w:t>
            </w:r>
            <w:proofErr w:type="spellEnd"/>
            <w:r>
              <w:rPr>
                <w:i/>
                <w:sz w:val="20"/>
                <w:szCs w:val="20"/>
              </w:rPr>
              <w:t xml:space="preserve"> </w:t>
            </w:r>
            <w:proofErr w:type="spellStart"/>
            <w:r>
              <w:rPr>
                <w:i/>
                <w:sz w:val="20"/>
                <w:szCs w:val="20"/>
              </w:rPr>
              <w:t>space</w:t>
            </w:r>
            <w:proofErr w:type="spellEnd"/>
            <w:r>
              <w:rPr>
                <w:i/>
                <w:sz w:val="20"/>
                <w:szCs w:val="20"/>
              </w:rPr>
              <w:t xml:space="preserve">. </w:t>
            </w:r>
            <w:proofErr w:type="spellStart"/>
            <w:r>
              <w:rPr>
                <w:i/>
                <w:sz w:val="20"/>
                <w:szCs w:val="20"/>
              </w:rPr>
              <w:t>Together</w:t>
            </w:r>
            <w:proofErr w:type="spellEnd"/>
            <w:r>
              <w:rPr>
                <w:i/>
                <w:sz w:val="20"/>
                <w:szCs w:val="20"/>
              </w:rPr>
              <w:t>.” – „Den Wert von Raum maximieren. Gemeinsam.“ zeigt Häfele zur Holz-Handwerk in Halle 12 am Stand 602 zahlreiche Lösungsansätze mit Mehrwert für die (all)täglichen Aufgaben und Anwendungen im Schreinerhandwerk.</w:t>
            </w:r>
          </w:p>
          <w:p w14:paraId="2B376C78" w14:textId="77777777" w:rsidR="00151AF9" w:rsidRDefault="005E628E">
            <w:pPr>
              <w:spacing w:after="240"/>
              <w:rPr>
                <w:sz w:val="20"/>
                <w:szCs w:val="20"/>
              </w:rPr>
            </w:pPr>
            <w:r>
              <w:rPr>
                <w:b/>
                <w:sz w:val="20"/>
                <w:szCs w:val="20"/>
              </w:rPr>
              <w:t>Mehrwert Beleuchtung:</w:t>
            </w:r>
            <w:r>
              <w:rPr>
                <w:sz w:val="20"/>
                <w:szCs w:val="20"/>
              </w:rPr>
              <w:t xml:space="preserve"> Neu ist die Division Häfele </w:t>
            </w:r>
            <w:proofErr w:type="spellStart"/>
            <w:r>
              <w:rPr>
                <w:sz w:val="20"/>
                <w:szCs w:val="20"/>
              </w:rPr>
              <w:t>Lighting</w:t>
            </w:r>
            <w:proofErr w:type="spellEnd"/>
            <w:r>
              <w:rPr>
                <w:sz w:val="20"/>
                <w:szCs w:val="20"/>
              </w:rPr>
              <w:t xml:space="preserve">, die mit den Sortimenten </w:t>
            </w:r>
            <w:proofErr w:type="spellStart"/>
            <w:r>
              <w:rPr>
                <w:sz w:val="20"/>
                <w:szCs w:val="20"/>
              </w:rPr>
              <w:t>Loox</w:t>
            </w:r>
            <w:proofErr w:type="spellEnd"/>
            <w:r>
              <w:rPr>
                <w:sz w:val="20"/>
                <w:szCs w:val="20"/>
              </w:rPr>
              <w:t>, Nimbus und Connect die Anwendungsbereiche „Licht im Möbel“ und „Licht im Raum“ zu einem integrierten, vernetzten Gesamterlebnis vereint und Schreiner bei der Umsetzung von Projekten mit Fachwissen und Planungsleistungen unterstützen kann.</w:t>
            </w:r>
          </w:p>
          <w:p w14:paraId="0848FF14" w14:textId="77777777" w:rsidR="00151AF9" w:rsidRDefault="005E628E">
            <w:pPr>
              <w:spacing w:after="240"/>
              <w:rPr>
                <w:sz w:val="20"/>
                <w:szCs w:val="20"/>
              </w:rPr>
            </w:pPr>
            <w:r>
              <w:rPr>
                <w:b/>
                <w:sz w:val="20"/>
                <w:szCs w:val="20"/>
              </w:rPr>
              <w:t>Mehrwert Küchengeräte und Zubehör:</w:t>
            </w:r>
            <w:r>
              <w:rPr>
                <w:sz w:val="20"/>
                <w:szCs w:val="20"/>
              </w:rPr>
              <w:t xml:space="preserve"> Mit meineKüchengeräte.de hat Häfele in Zusammenarbeit mit seinem Tochterunternehmen </w:t>
            </w:r>
            <w:proofErr w:type="spellStart"/>
            <w:r>
              <w:rPr>
                <w:sz w:val="20"/>
                <w:szCs w:val="20"/>
              </w:rPr>
              <w:t>moebelplus</w:t>
            </w:r>
            <w:proofErr w:type="spellEnd"/>
            <w:r>
              <w:rPr>
                <w:sz w:val="20"/>
                <w:szCs w:val="20"/>
              </w:rPr>
              <w:t xml:space="preserve"> eine einfach zu bedienende Online-Plattform für Elektro-Küchengeräte, Spülen, Armaturen und Zubehör geschaffen. Sie bietet Zugang zu weit über 10.000 Artikeln und mehr als 30 namhaften Hersteller-Marken und deren Sortimenten. Unter einer Anwendung vereint sie Einkauf, Beratung und Verkauf, sowie die Kundenprojekte und alle Details zu Bestellung, Lieferung und vieles mehr im Überblick. Am Häfele Stand auf der Holz-Handwerk wird die Plattform im zentralen Kinoraum erlebbar.</w:t>
            </w:r>
          </w:p>
          <w:p w14:paraId="736E60AE" w14:textId="77777777" w:rsidR="00151AF9" w:rsidRDefault="005E628E">
            <w:pPr>
              <w:spacing w:after="240"/>
              <w:rPr>
                <w:sz w:val="20"/>
                <w:szCs w:val="20"/>
              </w:rPr>
            </w:pPr>
            <w:r>
              <w:rPr>
                <w:b/>
                <w:sz w:val="20"/>
                <w:szCs w:val="20"/>
              </w:rPr>
              <w:t>Mehrwert Verbindung:</w:t>
            </w:r>
            <w:r>
              <w:rPr>
                <w:sz w:val="20"/>
                <w:szCs w:val="20"/>
              </w:rPr>
              <w:t xml:space="preserve"> Ein Beschlag für vielfältige Anwendungen im Innenausbau und bei der Fertigung von Möbeln ist der von Häfele </w:t>
            </w:r>
            <w:r>
              <w:rPr>
                <w:sz w:val="20"/>
                <w:szCs w:val="20"/>
              </w:rPr>
              <w:lastRenderedPageBreak/>
              <w:t>entwickelte und patentierte Universalverbinder UC 16/64. Mit dem cleveren Beschlag, der die Eigenschaften vieler unterschiedlicher Möbelverbinder in nur einem Produkt vereint, werden alle Arbeitsabläufe in der Werkstatt und auf der Baustelle deutlich verschlankt.</w:t>
            </w:r>
          </w:p>
          <w:p w14:paraId="6C7FD8D0" w14:textId="77777777" w:rsidR="00151AF9" w:rsidRDefault="005E628E">
            <w:pPr>
              <w:spacing w:after="240"/>
              <w:rPr>
                <w:sz w:val="20"/>
                <w:szCs w:val="20"/>
              </w:rPr>
            </w:pPr>
            <w:r>
              <w:rPr>
                <w:sz w:val="20"/>
                <w:szCs w:val="20"/>
              </w:rPr>
              <w:t xml:space="preserve">In unserer </w:t>
            </w:r>
            <w:r>
              <w:rPr>
                <w:b/>
                <w:sz w:val="20"/>
                <w:szCs w:val="20"/>
              </w:rPr>
              <w:t>Pressemappe zur Holz-Handwerk 2024</w:t>
            </w:r>
            <w:r>
              <w:rPr>
                <w:sz w:val="20"/>
                <w:szCs w:val="20"/>
              </w:rPr>
              <w:t xml:space="preserve"> finden Sie umfangreiches Text- und Bildmaterial zu den Häfele Produkt- und Serviceneuheiten. Unter den nachfolgenden Links gelangen Sie zu den ausführlichen Medieninformationen.</w:t>
            </w:r>
          </w:p>
          <w:p w14:paraId="7FAD8916" w14:textId="77777777" w:rsidR="00151AF9" w:rsidRPr="00BF1545" w:rsidRDefault="001839CC">
            <w:pPr>
              <w:spacing w:after="240"/>
              <w:rPr>
                <w:sz w:val="20"/>
                <w:szCs w:val="20"/>
                <w:lang w:val="en-GB"/>
              </w:rPr>
            </w:pPr>
            <w:hyperlink r:id="rId7">
              <w:proofErr w:type="spellStart"/>
              <w:r w:rsidR="005E628E" w:rsidRPr="00BF1545">
                <w:rPr>
                  <w:rStyle w:val="Hyperlink"/>
                  <w:color w:val="000000"/>
                  <w:sz w:val="20"/>
                  <w:szCs w:val="20"/>
                  <w:lang w:val="en-GB"/>
                </w:rPr>
                <w:t>Häfele</w:t>
              </w:r>
              <w:proofErr w:type="spellEnd"/>
              <w:r w:rsidR="005E628E" w:rsidRPr="00BF1545">
                <w:rPr>
                  <w:rStyle w:val="Hyperlink"/>
                  <w:color w:val="000000"/>
                  <w:sz w:val="20"/>
                  <w:szCs w:val="20"/>
                  <w:lang w:val="en-GB"/>
                </w:rPr>
                <w:t xml:space="preserve"> Lighting – Know-how</w:t>
              </w:r>
            </w:hyperlink>
          </w:p>
          <w:p w14:paraId="3F7115FE" w14:textId="77777777" w:rsidR="00151AF9" w:rsidRPr="00BF1545" w:rsidRDefault="001839CC">
            <w:pPr>
              <w:spacing w:after="240"/>
              <w:rPr>
                <w:sz w:val="20"/>
                <w:szCs w:val="20"/>
                <w:lang w:val="en-GB"/>
              </w:rPr>
            </w:pPr>
            <w:hyperlink r:id="rId8">
              <w:proofErr w:type="spellStart"/>
              <w:r w:rsidR="005E628E" w:rsidRPr="00BF1545">
                <w:rPr>
                  <w:rStyle w:val="Hyperlink"/>
                  <w:color w:val="000000"/>
                  <w:sz w:val="20"/>
                  <w:szCs w:val="20"/>
                  <w:lang w:val="en-GB"/>
                </w:rPr>
                <w:t>Häfele</w:t>
              </w:r>
              <w:proofErr w:type="spellEnd"/>
              <w:r w:rsidR="005E628E" w:rsidRPr="00BF1545">
                <w:rPr>
                  <w:rStyle w:val="Hyperlink"/>
                  <w:color w:val="000000"/>
                  <w:sz w:val="20"/>
                  <w:szCs w:val="20"/>
                  <w:lang w:val="en-GB"/>
                </w:rPr>
                <w:t xml:space="preserve"> Lighting – </w:t>
              </w:r>
              <w:proofErr w:type="spellStart"/>
              <w:r w:rsidR="005E628E" w:rsidRPr="00BF1545">
                <w:rPr>
                  <w:rStyle w:val="Hyperlink"/>
                  <w:color w:val="000000"/>
                  <w:sz w:val="20"/>
                  <w:szCs w:val="20"/>
                  <w:lang w:val="en-GB"/>
                </w:rPr>
                <w:t>Produkte</w:t>
              </w:r>
              <w:proofErr w:type="spellEnd"/>
            </w:hyperlink>
          </w:p>
          <w:p w14:paraId="706574A2" w14:textId="77777777" w:rsidR="00151AF9" w:rsidRDefault="001839CC">
            <w:pPr>
              <w:spacing w:after="240"/>
              <w:rPr>
                <w:sz w:val="20"/>
                <w:szCs w:val="20"/>
              </w:rPr>
            </w:pPr>
            <w:hyperlink r:id="rId9">
              <w:r w:rsidR="005E628E">
                <w:rPr>
                  <w:rStyle w:val="Hyperlink"/>
                  <w:color w:val="000000"/>
                  <w:sz w:val="20"/>
                  <w:szCs w:val="20"/>
                </w:rPr>
                <w:t xml:space="preserve">Häfele </w:t>
              </w:r>
              <w:proofErr w:type="spellStart"/>
              <w:r w:rsidR="005E628E">
                <w:rPr>
                  <w:rStyle w:val="Hyperlink"/>
                  <w:color w:val="000000"/>
                  <w:sz w:val="20"/>
                  <w:szCs w:val="20"/>
                </w:rPr>
                <w:t>Lighting</w:t>
              </w:r>
              <w:proofErr w:type="spellEnd"/>
              <w:r w:rsidR="005E628E">
                <w:rPr>
                  <w:rStyle w:val="Hyperlink"/>
                  <w:color w:val="000000"/>
                  <w:sz w:val="20"/>
                  <w:szCs w:val="20"/>
                </w:rPr>
                <w:t xml:space="preserve"> - Konnektivität</w:t>
              </w:r>
            </w:hyperlink>
          </w:p>
          <w:p w14:paraId="2FB6813E" w14:textId="77777777" w:rsidR="00151AF9" w:rsidRDefault="001839CC">
            <w:pPr>
              <w:rPr>
                <w:rStyle w:val="Hyperlink"/>
                <w:color w:val="000000"/>
                <w:sz w:val="20"/>
                <w:szCs w:val="20"/>
              </w:rPr>
            </w:pPr>
            <w:hyperlink r:id="rId10">
              <w:r w:rsidR="005E628E">
                <w:rPr>
                  <w:rStyle w:val="Hyperlink"/>
                  <w:color w:val="000000"/>
                  <w:sz w:val="20"/>
                  <w:szCs w:val="20"/>
                </w:rPr>
                <w:t>meineKüchengeräte.de – Online-Küchengeräteplattform mit uneingeschränktem Zugang für jeden Schreiner</w:t>
              </w:r>
            </w:hyperlink>
          </w:p>
          <w:p w14:paraId="296B937B" w14:textId="77777777" w:rsidR="00BF1545" w:rsidRDefault="00BF1545">
            <w:pPr>
              <w:rPr>
                <w:rStyle w:val="Hyperlink"/>
                <w:sz w:val="20"/>
                <w:szCs w:val="20"/>
              </w:rPr>
            </w:pPr>
          </w:p>
          <w:p w14:paraId="1F05B0B9" w14:textId="77777777" w:rsidR="00BF1545" w:rsidRDefault="001839CC" w:rsidP="00BF1545">
            <w:pPr>
              <w:spacing w:after="240"/>
              <w:rPr>
                <w:sz w:val="20"/>
                <w:szCs w:val="20"/>
              </w:rPr>
            </w:pPr>
            <w:hyperlink r:id="rId11">
              <w:r w:rsidR="00BF1545">
                <w:rPr>
                  <w:rStyle w:val="Hyperlink"/>
                  <w:color w:val="000000"/>
                  <w:sz w:val="20"/>
                  <w:szCs w:val="20"/>
                </w:rPr>
                <w:t>Neuentwicklung Universalverbinder UC 16/64 – raffinierter Alleskönner</w:t>
              </w:r>
            </w:hyperlink>
          </w:p>
          <w:p w14:paraId="36C15CB2" w14:textId="77777777" w:rsidR="00BF1545" w:rsidRDefault="00BF1545">
            <w:pPr>
              <w:rPr>
                <w:sz w:val="20"/>
                <w:szCs w:val="20"/>
              </w:rPr>
            </w:pPr>
          </w:p>
          <w:p w14:paraId="37066897" w14:textId="77777777" w:rsidR="001839CC" w:rsidRDefault="001839CC">
            <w:pPr>
              <w:rPr>
                <w:sz w:val="20"/>
                <w:szCs w:val="20"/>
              </w:rPr>
            </w:pPr>
          </w:p>
          <w:p w14:paraId="41C87A68" w14:textId="77777777" w:rsidR="001839CC" w:rsidRDefault="001839CC">
            <w:pPr>
              <w:rPr>
                <w:sz w:val="20"/>
                <w:szCs w:val="20"/>
              </w:rPr>
            </w:pPr>
          </w:p>
          <w:p w14:paraId="59BD95D5" w14:textId="77777777" w:rsidR="001839CC" w:rsidRDefault="001839CC">
            <w:pPr>
              <w:rPr>
                <w:sz w:val="20"/>
                <w:szCs w:val="20"/>
              </w:rPr>
            </w:pPr>
          </w:p>
          <w:p w14:paraId="38073D4B" w14:textId="77777777" w:rsidR="001839CC" w:rsidRDefault="001839CC">
            <w:pPr>
              <w:rPr>
                <w:sz w:val="20"/>
                <w:szCs w:val="20"/>
              </w:rPr>
            </w:pPr>
          </w:p>
          <w:p w14:paraId="5B82C53D" w14:textId="77777777" w:rsidR="001839CC" w:rsidRDefault="001839CC">
            <w:pPr>
              <w:rPr>
                <w:sz w:val="20"/>
                <w:szCs w:val="20"/>
              </w:rPr>
            </w:pPr>
          </w:p>
          <w:p w14:paraId="2E621898" w14:textId="77777777" w:rsidR="001839CC" w:rsidRDefault="001839CC">
            <w:pPr>
              <w:rPr>
                <w:sz w:val="20"/>
                <w:szCs w:val="20"/>
              </w:rPr>
            </w:pPr>
          </w:p>
        </w:tc>
        <w:tc>
          <w:tcPr>
            <w:tcW w:w="1500" w:type="pct"/>
            <w:tcBorders>
              <w:top w:val="nil"/>
              <w:left w:val="nil"/>
              <w:bottom w:val="nil"/>
              <w:right w:val="nil"/>
            </w:tcBorders>
            <w:shd w:val="clear" w:color="auto" w:fill="auto"/>
            <w:tcMar>
              <w:top w:w="0" w:type="dxa"/>
              <w:left w:w="0" w:type="dxa"/>
              <w:bottom w:w="0" w:type="dxa"/>
              <w:right w:w="227" w:type="dxa"/>
            </w:tcMar>
          </w:tcPr>
          <w:p w14:paraId="04565E28" w14:textId="77777777" w:rsidR="00151AF9" w:rsidRDefault="005E628E">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0066DD55" w14:textId="77777777" w:rsidR="00151AF9" w:rsidRDefault="005E628E">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0545AD38" w14:textId="77777777" w:rsidR="00151AF9" w:rsidRDefault="005E628E">
            <w:pPr>
              <w:spacing w:after="240"/>
              <w:rPr>
                <w:sz w:val="20"/>
                <w:szCs w:val="20"/>
              </w:rPr>
            </w:pPr>
            <w:r>
              <w:rPr>
                <w:sz w:val="20"/>
                <w:szCs w:val="20"/>
              </w:rPr>
              <w:t> </w:t>
            </w:r>
          </w:p>
          <w:p w14:paraId="5D12FEAE" w14:textId="77777777" w:rsidR="00151AF9" w:rsidRDefault="005E628E">
            <w:pPr>
              <w:rPr>
                <w:sz w:val="20"/>
                <w:szCs w:val="20"/>
              </w:rPr>
            </w:pPr>
            <w:r>
              <w:rPr>
                <w:sz w:val="20"/>
                <w:szCs w:val="20"/>
              </w:rPr>
              <w:t> </w:t>
            </w:r>
          </w:p>
        </w:tc>
      </w:tr>
      <w:tr w:rsidR="00151AF9" w14:paraId="2A07B1A1" w14:textId="77777777" w:rsidTr="001839CC">
        <w:trPr>
          <w:gridAfter w:val="1"/>
          <w:wAfter w:w="1500" w:type="pct"/>
        </w:trPr>
        <w:tc>
          <w:tcPr>
            <w:tcW w:w="1750" w:type="pct"/>
            <w:tcBorders>
              <w:top w:val="nil"/>
              <w:left w:val="nil"/>
              <w:bottom w:val="nil"/>
              <w:right w:val="nil"/>
            </w:tcBorders>
            <w:shd w:val="clear" w:color="auto" w:fill="auto"/>
            <w:tcMar>
              <w:top w:w="0" w:type="dxa"/>
              <w:left w:w="0" w:type="dxa"/>
              <w:bottom w:w="0" w:type="dxa"/>
              <w:right w:w="227" w:type="dxa"/>
            </w:tcMar>
          </w:tcPr>
          <w:p w14:paraId="5F368EC1" w14:textId="77777777" w:rsidR="00151AF9" w:rsidRDefault="00151AF9">
            <w:pPr>
              <w:rPr>
                <w:sz w:val="20"/>
                <w:szCs w:val="20"/>
              </w:rPr>
            </w:pPr>
          </w:p>
        </w:tc>
        <w:tc>
          <w:tcPr>
            <w:tcW w:w="1750" w:type="pct"/>
            <w:tcBorders>
              <w:top w:val="nil"/>
              <w:left w:val="nil"/>
              <w:bottom w:val="nil"/>
              <w:right w:val="nil"/>
            </w:tcBorders>
            <w:shd w:val="clear" w:color="auto" w:fill="auto"/>
            <w:tcMar>
              <w:top w:w="0" w:type="dxa"/>
              <w:left w:w="0" w:type="dxa"/>
              <w:bottom w:w="0" w:type="dxa"/>
              <w:right w:w="227" w:type="dxa"/>
            </w:tcMar>
          </w:tcPr>
          <w:p w14:paraId="4B0F6E4F" w14:textId="77777777" w:rsidR="00151AF9" w:rsidRDefault="00151AF9">
            <w:pPr>
              <w:rPr>
                <w:sz w:val="20"/>
                <w:szCs w:val="20"/>
              </w:rPr>
            </w:pPr>
          </w:p>
        </w:tc>
      </w:tr>
    </w:tbl>
    <w:p w14:paraId="158D07DD" w14:textId="77777777" w:rsidR="001839CC" w:rsidRDefault="001839CC" w:rsidP="001839CC">
      <w:pPr>
        <w:spacing w:line="240" w:lineRule="auto"/>
        <w:rPr>
          <w:sz w:val="17"/>
          <w:szCs w:val="17"/>
        </w:rPr>
      </w:pPr>
      <w:r>
        <w:rPr>
          <w:b/>
          <w:sz w:val="17"/>
          <w:szCs w:val="17"/>
        </w:rPr>
        <w:t>1</w:t>
      </w:r>
      <w:r>
        <w:rPr>
          <w:sz w:val="17"/>
          <w:szCs w:val="17"/>
        </w:rPr>
        <w:t xml:space="preserve"> Abbildung: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1839CC" w14:paraId="4F9288C1" w14:textId="77777777" w:rsidTr="00CB5A9B">
        <w:tc>
          <w:tcPr>
            <w:tcW w:w="2444" w:type="pct"/>
            <w:tcBorders>
              <w:top w:val="nil"/>
              <w:left w:val="nil"/>
              <w:bottom w:val="nil"/>
              <w:right w:val="nil"/>
            </w:tcBorders>
            <w:shd w:val="clear" w:color="auto" w:fill="auto"/>
            <w:tcMar>
              <w:top w:w="0" w:type="dxa"/>
              <w:left w:w="0" w:type="dxa"/>
              <w:bottom w:w="0" w:type="dxa"/>
              <w:right w:w="0" w:type="dxa"/>
            </w:tcMar>
          </w:tcPr>
          <w:p w14:paraId="5E737663" w14:textId="77777777" w:rsidR="001839CC" w:rsidRDefault="001839CC" w:rsidP="00CB5A9B">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0E918A49" w14:textId="77777777" w:rsidR="001839CC" w:rsidRDefault="001839CC" w:rsidP="00CB5A9B">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072CF97" w14:textId="77777777" w:rsidR="001839CC" w:rsidRDefault="001839CC" w:rsidP="00CB5A9B">
            <w:pPr>
              <w:keepNext/>
              <w:keepLines/>
              <w:spacing w:line="240" w:lineRule="auto"/>
              <w:rPr>
                <w:sz w:val="14"/>
                <w:szCs w:val="14"/>
              </w:rPr>
            </w:pPr>
          </w:p>
        </w:tc>
      </w:tr>
      <w:tr w:rsidR="001839CC" w14:paraId="7E8D435F" w14:textId="77777777" w:rsidTr="00CB5A9B">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3953718" w14:textId="77777777" w:rsidR="001839CC" w:rsidRDefault="001839CC" w:rsidP="00CB5A9B">
            <w:pPr>
              <w:keepNext/>
              <w:keepLines/>
              <w:spacing w:line="240" w:lineRule="auto"/>
              <w:rPr>
                <w:sz w:val="14"/>
                <w:szCs w:val="14"/>
              </w:rPr>
            </w:pPr>
            <w:r>
              <w:rPr>
                <w:noProof/>
                <w:sz w:val="14"/>
                <w:szCs w:val="14"/>
              </w:rPr>
              <w:drawing>
                <wp:inline distT="0" distB="0" distL="0" distR="0" wp14:anchorId="7C95401E" wp14:editId="04C9B0F1">
                  <wp:extent cx="3023235" cy="170053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12"/>
                          <a:srcRect/>
                          <a:stretch>
                            <a:fillRect/>
                          </a:stretch>
                        </pic:blipFill>
                        <pic:spPr>
                          <a:xfrm>
                            <a:off x="0" y="0"/>
                            <a:ext cx="3023235" cy="170053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E6F7700" w14:textId="77777777" w:rsidR="001839CC" w:rsidRDefault="001839CC" w:rsidP="00CB5A9B">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25350854" w14:textId="77777777" w:rsidR="001839CC" w:rsidRDefault="001839CC" w:rsidP="00CB5A9B">
            <w:pPr>
              <w:keepNext/>
              <w:keepLines/>
              <w:spacing w:line="240" w:lineRule="auto"/>
              <w:rPr>
                <w:sz w:val="17"/>
                <w:szCs w:val="17"/>
              </w:rPr>
            </w:pPr>
          </w:p>
        </w:tc>
      </w:tr>
      <w:tr w:rsidR="001839CC" w14:paraId="2DC75274" w14:textId="77777777" w:rsidTr="00CB5A9B">
        <w:tc>
          <w:tcPr>
            <w:tcW w:w="2444" w:type="pct"/>
            <w:tcBorders>
              <w:top w:val="nil"/>
              <w:left w:val="nil"/>
              <w:bottom w:val="nil"/>
              <w:right w:val="nil"/>
            </w:tcBorders>
            <w:shd w:val="clear" w:color="auto" w:fill="auto"/>
            <w:tcMar>
              <w:top w:w="0" w:type="dxa"/>
              <w:left w:w="0" w:type="dxa"/>
              <w:bottom w:w="0" w:type="dxa"/>
              <w:right w:w="0" w:type="dxa"/>
            </w:tcMar>
          </w:tcPr>
          <w:p w14:paraId="0C5E90F2" w14:textId="77777777" w:rsidR="001839CC" w:rsidRDefault="001839CC" w:rsidP="00CB5A9B">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22EB4A17" w14:textId="77777777" w:rsidR="001839CC" w:rsidRDefault="001839CC" w:rsidP="00CB5A9B">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37861458" w14:textId="77777777" w:rsidR="001839CC" w:rsidRDefault="001839CC" w:rsidP="00CB5A9B">
            <w:pPr>
              <w:keepNext/>
              <w:keepLines/>
              <w:spacing w:line="240" w:lineRule="auto"/>
              <w:rPr>
                <w:sz w:val="17"/>
                <w:szCs w:val="17"/>
              </w:rPr>
            </w:pPr>
          </w:p>
        </w:tc>
      </w:tr>
      <w:tr w:rsidR="001839CC" w14:paraId="54AD4692" w14:textId="77777777" w:rsidTr="00CB5A9B">
        <w:tc>
          <w:tcPr>
            <w:tcW w:w="2444" w:type="pct"/>
            <w:tcBorders>
              <w:top w:val="nil"/>
              <w:left w:val="nil"/>
              <w:bottom w:val="nil"/>
              <w:right w:val="nil"/>
            </w:tcBorders>
            <w:shd w:val="clear" w:color="auto" w:fill="auto"/>
            <w:tcMar>
              <w:top w:w="0" w:type="dxa"/>
              <w:left w:w="0" w:type="dxa"/>
              <w:bottom w:w="0" w:type="dxa"/>
              <w:right w:w="0" w:type="dxa"/>
            </w:tcMar>
          </w:tcPr>
          <w:p w14:paraId="52B307DA" w14:textId="77777777" w:rsidR="001839CC" w:rsidRDefault="001839CC" w:rsidP="00CB5A9B">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39411C9F" w14:textId="77777777" w:rsidR="001839CC" w:rsidRDefault="001839CC" w:rsidP="00CB5A9B">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11F3E538" w14:textId="77777777" w:rsidR="001839CC" w:rsidRDefault="001839CC" w:rsidP="00CB5A9B">
            <w:pPr>
              <w:keepNext/>
              <w:keepLines/>
              <w:spacing w:line="240" w:lineRule="auto"/>
              <w:rPr>
                <w:sz w:val="17"/>
                <w:szCs w:val="17"/>
              </w:rPr>
            </w:pPr>
          </w:p>
        </w:tc>
      </w:tr>
      <w:tr w:rsidR="001839CC" w14:paraId="66800312" w14:textId="77777777" w:rsidTr="00CB5A9B">
        <w:tc>
          <w:tcPr>
            <w:tcW w:w="2444" w:type="pct"/>
            <w:tcBorders>
              <w:top w:val="nil"/>
              <w:left w:val="nil"/>
              <w:bottom w:val="nil"/>
              <w:right w:val="nil"/>
            </w:tcBorders>
            <w:shd w:val="clear" w:color="auto" w:fill="auto"/>
            <w:tcMar>
              <w:top w:w="0" w:type="dxa"/>
              <w:left w:w="0" w:type="dxa"/>
              <w:bottom w:w="0" w:type="dxa"/>
              <w:right w:w="0" w:type="dxa"/>
            </w:tcMar>
          </w:tcPr>
          <w:p w14:paraId="167935D8" w14:textId="77777777" w:rsidR="001839CC" w:rsidRDefault="001839CC" w:rsidP="00CB5A9B">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43135B09" w14:textId="77777777" w:rsidR="001839CC" w:rsidRDefault="001839CC" w:rsidP="00CB5A9B">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5898519E" w14:textId="77777777" w:rsidR="001839CC" w:rsidRDefault="001839CC" w:rsidP="00CB5A9B">
            <w:pPr>
              <w:keepNext/>
              <w:keepLines/>
              <w:spacing w:line="240" w:lineRule="auto"/>
              <w:rPr>
                <w:sz w:val="17"/>
                <w:szCs w:val="17"/>
              </w:rPr>
            </w:pPr>
          </w:p>
        </w:tc>
      </w:tr>
    </w:tbl>
    <w:p w14:paraId="04363AAB" w14:textId="42D5899B" w:rsidR="00151AF9" w:rsidRDefault="005E628E">
      <w:r>
        <w:br w:type="page"/>
      </w:r>
    </w:p>
    <w:p w14:paraId="59AFACA2" w14:textId="68AED0CC" w:rsidR="00151AF9" w:rsidRDefault="00151AF9">
      <w:pPr>
        <w:spacing w:line="240" w:lineRule="auto"/>
      </w:pP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151AF9" w14:paraId="37DB49DA"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437EAA54" w14:textId="6B9A7800" w:rsidR="00151AF9" w:rsidRPr="00BF1545" w:rsidRDefault="005E628E">
            <w:pPr>
              <w:spacing w:before="240" w:after="240"/>
              <w:rPr>
                <w:sz w:val="20"/>
                <w:szCs w:val="20"/>
                <w:lang w:val="en-GB"/>
              </w:rPr>
            </w:pPr>
            <w:proofErr w:type="spellStart"/>
            <w:r w:rsidRPr="00BF1545">
              <w:rPr>
                <w:b/>
                <w:sz w:val="20"/>
                <w:szCs w:val="20"/>
                <w:lang w:val="en-GB"/>
              </w:rPr>
              <w:t>Über</w:t>
            </w:r>
            <w:proofErr w:type="spellEnd"/>
            <w:r w:rsidRPr="00BF1545">
              <w:rPr>
                <w:b/>
                <w:sz w:val="20"/>
                <w:szCs w:val="20"/>
                <w:lang w:val="en-GB"/>
              </w:rPr>
              <w:t xml:space="preserve"> </w:t>
            </w:r>
            <w:proofErr w:type="spellStart"/>
            <w:r w:rsidRPr="00BF1545">
              <w:rPr>
                <w:b/>
                <w:sz w:val="20"/>
                <w:szCs w:val="20"/>
                <w:lang w:val="en-GB"/>
              </w:rPr>
              <w:t>Häfele</w:t>
            </w:r>
            <w:proofErr w:type="spellEnd"/>
          </w:p>
          <w:p w14:paraId="6D592C6F" w14:textId="77777777" w:rsidR="00151AF9" w:rsidRDefault="005E628E">
            <w:pPr>
              <w:spacing w:before="240" w:after="240"/>
              <w:rPr>
                <w:sz w:val="20"/>
                <w:szCs w:val="20"/>
              </w:rPr>
            </w:pPr>
            <w:r w:rsidRPr="00BF1545">
              <w:rPr>
                <w:b/>
                <w:sz w:val="20"/>
                <w:szCs w:val="20"/>
                <w:lang w:val="en-GB"/>
              </w:rPr>
              <w:t xml:space="preserve">Maximising the value of space. </w:t>
            </w:r>
            <w:proofErr w:type="spellStart"/>
            <w:r>
              <w:rPr>
                <w:b/>
                <w:sz w:val="20"/>
                <w:szCs w:val="20"/>
              </w:rPr>
              <w:t>Together</w:t>
            </w:r>
            <w:proofErr w:type="spellEnd"/>
            <w:r>
              <w:rPr>
                <w:b/>
                <w:sz w:val="20"/>
                <w:szCs w:val="20"/>
              </w:rPr>
              <w:t>.</w:t>
            </w:r>
          </w:p>
          <w:p w14:paraId="110A88F3" w14:textId="77777777" w:rsidR="00151AF9" w:rsidRDefault="005E628E">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5C349809" w14:textId="77777777" w:rsidR="00151AF9" w:rsidRDefault="005E628E">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14:paraId="68B96F3A" w14:textId="77777777" w:rsidR="00151AF9" w:rsidRDefault="005E628E">
            <w:pPr>
              <w:spacing w:before="240" w:after="240"/>
              <w:rPr>
                <w:sz w:val="20"/>
                <w:szCs w:val="20"/>
              </w:rPr>
            </w:pPr>
            <w:r>
              <w:rPr>
                <w:sz w:val="20"/>
                <w:szCs w:val="20"/>
              </w:rPr>
              <w:t xml:space="preserve">Über 8.000 Mitarbeitende sowie 38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vertritt als Vorsitzende des Verwaltungsrats die Interessen der Gesellschafterfamilien. Im Geschäftsjahr 2023 erzielte die Häfele Gruppe einen Umsatz von 1,71 Mrd. Euro bei einem Exportanteil von 82%.</w:t>
            </w:r>
          </w:p>
          <w:p w14:paraId="2CECFBBB" w14:textId="77777777" w:rsidR="00151AF9" w:rsidRDefault="005E628E">
            <w:pPr>
              <w:spacing w:before="240" w:after="240"/>
              <w:rPr>
                <w:sz w:val="20"/>
                <w:szCs w:val="20"/>
              </w:rPr>
            </w:pPr>
            <w:r>
              <w:rPr>
                <w:sz w:val="20"/>
                <w:szCs w:val="20"/>
              </w:rPr>
              <w:t xml:space="preserve">Weitere Informationen unter </w:t>
            </w:r>
            <w:hyperlink r:id="rId13">
              <w:r>
                <w:rPr>
                  <w:rStyle w:val="Hyperlink"/>
                  <w:color w:val="000000"/>
                  <w:sz w:val="20"/>
                  <w:szCs w:val="20"/>
                </w:rPr>
                <w:t>www.haefele.de</w:t>
              </w:r>
            </w:hyperlink>
          </w:p>
          <w:p w14:paraId="1A8211D9" w14:textId="77777777" w:rsidR="00151AF9" w:rsidRDefault="005E628E">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0AF36E4D" w14:textId="77777777" w:rsidR="00151AF9" w:rsidRDefault="005E628E">
            <w:pPr>
              <w:rPr>
                <w:sz w:val="20"/>
                <w:szCs w:val="20"/>
              </w:rPr>
            </w:pPr>
            <w:r>
              <w:rPr>
                <w:sz w:val="20"/>
                <w:szCs w:val="20"/>
              </w:rPr>
              <w:br/>
            </w:r>
          </w:p>
        </w:tc>
      </w:tr>
      <w:tr w:rsidR="00151AF9" w14:paraId="5391C179"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72AD0DC7" w14:textId="77777777" w:rsidR="00151AF9" w:rsidRDefault="00151AF9">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73F68679" w14:textId="77777777" w:rsidR="00151AF9" w:rsidRDefault="00151AF9">
            <w:pPr>
              <w:rPr>
                <w:sz w:val="20"/>
                <w:szCs w:val="20"/>
              </w:rPr>
            </w:pPr>
          </w:p>
        </w:tc>
      </w:tr>
    </w:tbl>
    <w:p w14:paraId="19B81FFE" w14:textId="675286D0" w:rsidR="00151AF9" w:rsidRDefault="00151AF9">
      <w:pPr>
        <w:spacing w:line="240" w:lineRule="auto"/>
      </w:pP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151AF9" w14:paraId="66E72B0C"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47B00F5E" w14:textId="77777777" w:rsidR="00151AF9" w:rsidRDefault="005E628E">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484A568D" w14:textId="77777777" w:rsidR="00151AF9" w:rsidRDefault="005E628E">
            <w:pPr>
              <w:rPr>
                <w:sz w:val="20"/>
                <w:szCs w:val="20"/>
              </w:rPr>
            </w:pPr>
            <w:r>
              <w:rPr>
                <w:sz w:val="20"/>
                <w:szCs w:val="20"/>
              </w:rPr>
              <w:br/>
            </w:r>
          </w:p>
        </w:tc>
      </w:tr>
      <w:tr w:rsidR="00151AF9" w14:paraId="5CB742FE"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4D6B64AB" w14:textId="77777777" w:rsidR="00151AF9" w:rsidRDefault="00151AF9">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2C01D0E2" w14:textId="77777777" w:rsidR="00151AF9" w:rsidRDefault="00151AF9">
            <w:pPr>
              <w:rPr>
                <w:sz w:val="20"/>
                <w:szCs w:val="20"/>
              </w:rPr>
            </w:pPr>
          </w:p>
        </w:tc>
      </w:tr>
    </w:tbl>
    <w:p w14:paraId="7D9202C1" w14:textId="77777777" w:rsidR="00151AF9" w:rsidRDefault="005E628E">
      <w:r>
        <w:rPr>
          <w:noProof/>
          <w:sz w:val="18"/>
          <w:szCs w:val="18"/>
        </w:rPr>
        <w:drawing>
          <wp:inline distT="0" distB="0" distL="0" distR="0" wp14:anchorId="5854A4CA" wp14:editId="4242B59F">
            <wp:extent cx="1800860" cy="180086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4"/>
                    <a:srcRect/>
                    <a:stretch>
                      <a:fillRect/>
                    </a:stretch>
                  </pic:blipFill>
                  <pic:spPr>
                    <a:xfrm>
                      <a:off x="0" y="0"/>
                      <a:ext cx="1800860" cy="1800860"/>
                    </a:xfrm>
                    <a:prstGeom prst="rect">
                      <a:avLst/>
                    </a:prstGeom>
                  </pic:spPr>
                </pic:pic>
              </a:graphicData>
            </a:graphic>
          </wp:inline>
        </w:drawing>
      </w:r>
      <w:r>
        <w:rPr>
          <w:sz w:val="18"/>
          <w:szCs w:val="18"/>
        </w:rPr>
        <w:br/>
      </w:r>
    </w:p>
    <w:sectPr w:rsidR="00151AF9">
      <w:headerReference w:type="default" r:id="rId15"/>
      <w:footerReference w:type="default" r:id="rId16"/>
      <w:headerReference w:type="first" r:id="rId17"/>
      <w:footerReference w:type="first" r:id="rId18"/>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9DDC1" w14:textId="77777777" w:rsidR="005E628E" w:rsidRDefault="005E628E">
      <w:pPr>
        <w:spacing w:line="240" w:lineRule="auto"/>
      </w:pPr>
      <w:r>
        <w:separator/>
      </w:r>
    </w:p>
  </w:endnote>
  <w:endnote w:type="continuationSeparator" w:id="0">
    <w:p w14:paraId="22A34CCE" w14:textId="77777777" w:rsidR="005E628E" w:rsidRDefault="005E62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151AF9" w14:paraId="10B1B4E5"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10C54F84" w14:textId="77777777" w:rsidR="00151AF9" w:rsidRDefault="00151AF9">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7C8836F8" w14:textId="77777777" w:rsidR="00151AF9" w:rsidRDefault="00151AF9">
          <w:pPr>
            <w:rPr>
              <w:sz w:val="14"/>
              <w:szCs w:val="14"/>
            </w:rPr>
          </w:pPr>
        </w:p>
      </w:tc>
    </w:tr>
  </w:tbl>
  <w:p w14:paraId="0C755EC8" w14:textId="77777777" w:rsidR="00151AF9" w:rsidRDefault="00151AF9">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151AF9" w14:paraId="76791C8E"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113C8299" w14:textId="77777777" w:rsidR="00151AF9" w:rsidRDefault="00151AF9">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596AEFA9" w14:textId="77777777" w:rsidR="00151AF9" w:rsidRDefault="00151AF9">
          <w:pPr>
            <w:rPr>
              <w:sz w:val="14"/>
              <w:szCs w:val="14"/>
            </w:rPr>
          </w:pPr>
        </w:p>
      </w:tc>
    </w:tr>
  </w:tbl>
  <w:p w14:paraId="1F495E96" w14:textId="77777777" w:rsidR="00151AF9" w:rsidRDefault="00151AF9">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89621" w14:textId="77777777" w:rsidR="005E628E" w:rsidRDefault="005E628E">
      <w:pPr>
        <w:spacing w:line="240" w:lineRule="auto"/>
      </w:pPr>
      <w:r>
        <w:separator/>
      </w:r>
    </w:p>
  </w:footnote>
  <w:footnote w:type="continuationSeparator" w:id="0">
    <w:p w14:paraId="3E9F7B0B" w14:textId="77777777" w:rsidR="005E628E" w:rsidRDefault="005E62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3E848" w14:textId="77777777" w:rsidR="00151AF9" w:rsidRDefault="005E628E">
    <w:r>
      <w:rPr>
        <w:noProof/>
      </w:rPr>
      <w:drawing>
        <wp:anchor distT="0" distB="0" distL="114300" distR="114300" simplePos="0" relativeHeight="251659264" behindDoc="0" locked="0" layoutInCell="0" allowOverlap="0" wp14:anchorId="1733A52A" wp14:editId="33540730">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06091" w14:textId="77777777" w:rsidR="00151AF9" w:rsidRDefault="005E628E">
    <w:r>
      <w:rPr>
        <w:noProof/>
      </w:rPr>
      <w:drawing>
        <wp:anchor distT="0" distB="0" distL="114300" distR="114300" simplePos="0" relativeHeight="251658240" behindDoc="0" locked="0" layoutInCell="0" allowOverlap="0" wp14:anchorId="39A4887E" wp14:editId="78150B42">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AF9"/>
    <w:rsid w:val="00151AF9"/>
    <w:rsid w:val="001839CC"/>
    <w:rsid w:val="005E628E"/>
    <w:rsid w:val="00BF15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6FDC0"/>
  <w15:docId w15:val="{B1C8DBCB-6742-4603-BBE7-F3FBB099A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ressrelease.bering-kopal.de/de/pressrelease/haefele_haefele-lighting-produkte" TargetMode="External"/><Relationship Id="rId13" Type="http://schemas.openxmlformats.org/officeDocument/2006/relationships/hyperlink" Target="https://www.haefele.de/de/"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pressrelease.bering-kopal.de/de/pressrelease/haefele_haefele-lighting-know-how" TargetMode="Externa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pressrelease.bering-kopal.de/de/pressrelease/haefele_universalverbinder-uc-16-64"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pressrelease.bering-kopal.de/de/pressrelease/haefele_meinekuechengeraete-de"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pressrelease.bering-kopal.de/de/pressrelease/haefele_haefele-lighting-konnektivitaet"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669</Words>
  <Characters>4220</Characters>
  <Application>Microsoft Office Word</Application>
  <DocSecurity>0</DocSecurity>
  <Lines>35</Lines>
  <Paragraphs>9</Paragraphs>
  <ScaleCrop>false</ScaleCrop>
  <Company/>
  <LinksUpToDate>false</LinksUpToDate>
  <CharactersWithSpaces>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4</cp:revision>
  <dcterms:created xsi:type="dcterms:W3CDTF">2024-03-18T14:57:00Z</dcterms:created>
  <dcterms:modified xsi:type="dcterms:W3CDTF">2024-03-18T15:08:00Z</dcterms:modified>
</cp:coreProperties>
</file>