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5CA16" w14:textId="77777777" w:rsidR="005B4B9B" w:rsidRDefault="002764AE">
      <w:pPr>
        <w:rPr>
          <w:rFonts w:eastAsia="Arial"/>
          <w:sz w:val="8"/>
          <w:szCs w:val="8"/>
        </w:rPr>
      </w:pPr>
      <w:r>
        <w:rPr>
          <w:b/>
          <w:bCs/>
          <w:sz w:val="32"/>
          <w:szCs w:val="32"/>
        </w:rPr>
        <w:t>Häfele gründet neue Tochtergesellschaft in Kambodscha</w:t>
      </w:r>
      <w:r>
        <w:rPr>
          <w:b/>
          <w:bCs/>
          <w:sz w:val="32"/>
          <w:szCs w:val="32"/>
        </w:rPr>
        <w:br/>
      </w:r>
      <w:r>
        <w:rPr>
          <w:rFonts w:eastAsia="Arial"/>
        </w:rPr>
        <w:t>Pionierarbeit in einem aufstrebenden Markt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5B4B9B" w14:paraId="60129B90"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726A19B" w14:textId="77777777" w:rsidR="005B4B9B" w:rsidRDefault="002764AE">
            <w:pPr>
              <w:rPr>
                <w:sz w:val="18"/>
                <w:szCs w:val="18"/>
              </w:rPr>
            </w:pPr>
            <w:r>
              <w:rPr>
                <w:noProof/>
                <w:sz w:val="18"/>
                <w:szCs w:val="18"/>
              </w:rPr>
              <w:drawing>
                <wp:inline distT="0" distB="0" distL="0" distR="0" wp14:anchorId="6BFBC26A" wp14:editId="345E549E">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4E6BE80" w14:textId="77777777" w:rsidR="005B4B9B" w:rsidRDefault="002764AE">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B4B9B" w14:paraId="0CC0A741"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3271083" w14:textId="77777777" w:rsidR="005B4B9B" w:rsidRDefault="002764AE">
            <w:pPr>
              <w:spacing w:after="240"/>
              <w:rPr>
                <w:sz w:val="20"/>
                <w:szCs w:val="20"/>
              </w:rPr>
            </w:pPr>
            <w:r>
              <w:rPr>
                <w:i/>
                <w:sz w:val="20"/>
                <w:szCs w:val="20"/>
              </w:rPr>
              <w:t>Häfele ist seit über einem Jahrzehnt auf dem kambodschanischen Markt aktiv. Mit dem zunehmenden Tourismus in dem südostasiatischen Land und seiner prosperierenden Mittelschicht sieht das Unternehmen vielfältige Entwicklungsmöglichkeiten — sowohl für Projekte als auch für Möbel- und Türenhersteller vor Ort. In der Hauptstadt Phnom Penh hat Häfele Anfang 2024 offiziell die Arbeit aufgenommen.</w:t>
            </w:r>
          </w:p>
          <w:p w14:paraId="6CB14D86" w14:textId="77777777" w:rsidR="005B4B9B" w:rsidRDefault="002764AE">
            <w:pPr>
              <w:spacing w:after="240"/>
              <w:rPr>
                <w:sz w:val="20"/>
                <w:szCs w:val="20"/>
              </w:rPr>
            </w:pPr>
            <w:r>
              <w:rPr>
                <w:sz w:val="20"/>
                <w:szCs w:val="20"/>
              </w:rPr>
              <w:t>„Der kambodschanische Markt ist ein aufstrebender Stern in Südostasien, in dem wir für die nächsten Jahre viele Chancen sehen. Wir sind stolz darauf, frühzeitig in diesen Markt einzusteigen und seine Zukunft gemeinsam zu gestalten“, so Stanislas Hug, Geschäftsführer Singapur &amp; Kambodscha, und ergänzt: „Wir arbeiten bereits mit einigen Bauherren und Architekten an wichtigen Hotel- und Wohnprojekten, bei denen Häfele das komplette Sortiment an Möbel- und Türbeschlägen, aber auch Hausgeräten und Sanitär anbieten kann. Für die kommenden Jahre haben wir uns ehrgeizige Ziele gesteckt.“</w:t>
            </w:r>
          </w:p>
          <w:p w14:paraId="68F80902" w14:textId="77777777" w:rsidR="005B4B9B" w:rsidRDefault="002764AE">
            <w:pPr>
              <w:spacing w:after="240"/>
              <w:rPr>
                <w:sz w:val="20"/>
                <w:szCs w:val="20"/>
              </w:rPr>
            </w:pPr>
            <w:r>
              <w:rPr>
                <w:sz w:val="20"/>
                <w:szCs w:val="20"/>
              </w:rPr>
              <w:t xml:space="preserve">Mit der Niederlassung in Kambodscha will das Unternehmen seine Position auf dem kambodschanischen Markt ausbauen. „Der Eintritt in diesen Markt ist Teil unserer </w:t>
            </w:r>
            <w:proofErr w:type="spellStart"/>
            <w:r>
              <w:rPr>
                <w:sz w:val="20"/>
                <w:szCs w:val="20"/>
              </w:rPr>
              <w:t>Regionalisierungsstrategie</w:t>
            </w:r>
            <w:proofErr w:type="spellEnd"/>
            <w:r>
              <w:rPr>
                <w:sz w:val="20"/>
                <w:szCs w:val="20"/>
              </w:rPr>
              <w:t>, mit der wir Pionierarbeit in sich entwickelnden Märkten leisten und gleichzeitig enge Beziehungen zu unseren Partnern aufbauen wollen“, erklärt Dominik Fruth, Häfele Regionaldirektor Südasien/Südostasien.</w:t>
            </w:r>
          </w:p>
          <w:p w14:paraId="0E7E9155" w14:textId="77777777" w:rsidR="005B4B9B" w:rsidRDefault="002764AE">
            <w:pPr>
              <w:spacing w:after="240"/>
              <w:rPr>
                <w:sz w:val="20"/>
                <w:szCs w:val="20"/>
              </w:rPr>
            </w:pPr>
            <w:r>
              <w:rPr>
                <w:sz w:val="20"/>
                <w:szCs w:val="20"/>
              </w:rPr>
              <w:t xml:space="preserve">Kambodscha ist eine parlamentarische Monarchie und hat etwa 16 Millionen Einwohner. Über die Hälfte der Bevölkerung ist unter 25 Jahre alt. Das Land, das ungefähr halb so groß wie Deutschland ist, grenzt im Westen und Nordwesten an Thailand, im Norden an Laos, sowie östlich und südöstlich an Vietnam. Es verzeichnet seit einigen Jahren ein </w:t>
            </w:r>
            <w:r>
              <w:rPr>
                <w:sz w:val="20"/>
                <w:szCs w:val="20"/>
              </w:rPr>
              <w:lastRenderedPageBreak/>
              <w:t>durchgängig hohes Wirtschaftswachstum. Der Bausektor ist laut Deutscher Gesellschaft für Internationale Zusammenarbeit (GIZ) GmbH eine der wichtigsten Säulen der kambodschanischen Wirtschaft.</w:t>
            </w:r>
          </w:p>
          <w:p w14:paraId="1381C138" w14:textId="77777777" w:rsidR="005B4B9B" w:rsidRDefault="002764AE">
            <w:pPr>
              <w:rPr>
                <w:sz w:val="20"/>
                <w:szCs w:val="20"/>
              </w:rPr>
            </w:pPr>
            <w:r>
              <w:rPr>
                <w:sz w:val="20"/>
                <w:szCs w:val="20"/>
              </w:rPr>
              <w:t>Nagold, im März 2024</w:t>
            </w:r>
          </w:p>
          <w:p w14:paraId="3082F81B" w14:textId="77777777" w:rsidR="002764AE" w:rsidRDefault="002764AE">
            <w:pPr>
              <w:rPr>
                <w:sz w:val="20"/>
                <w:szCs w:val="20"/>
              </w:rPr>
            </w:pPr>
          </w:p>
          <w:p w14:paraId="4CAA787B" w14:textId="77777777" w:rsidR="002764AE" w:rsidRDefault="002764AE">
            <w:pPr>
              <w:rPr>
                <w:sz w:val="20"/>
                <w:szCs w:val="20"/>
              </w:rPr>
            </w:pPr>
          </w:p>
          <w:p w14:paraId="315BA6CC" w14:textId="77777777" w:rsidR="002764AE" w:rsidRDefault="002764AE">
            <w:pPr>
              <w:rPr>
                <w:sz w:val="20"/>
                <w:szCs w:val="20"/>
              </w:rPr>
            </w:pPr>
          </w:p>
          <w:p w14:paraId="289A2A2B" w14:textId="77777777" w:rsidR="002764AE" w:rsidRDefault="002764AE">
            <w:pPr>
              <w:rPr>
                <w:sz w:val="20"/>
                <w:szCs w:val="20"/>
              </w:rPr>
            </w:pPr>
          </w:p>
        </w:tc>
        <w:tc>
          <w:tcPr>
            <w:tcW w:w="1500" w:type="pct"/>
            <w:tcBorders>
              <w:top w:val="nil"/>
              <w:left w:val="nil"/>
              <w:bottom w:val="nil"/>
              <w:right w:val="nil"/>
            </w:tcBorders>
            <w:shd w:val="clear" w:color="auto" w:fill="auto"/>
            <w:tcMar>
              <w:top w:w="0" w:type="dxa"/>
              <w:left w:w="0" w:type="dxa"/>
              <w:bottom w:w="0" w:type="dxa"/>
              <w:right w:w="227" w:type="dxa"/>
            </w:tcMar>
          </w:tcPr>
          <w:p w14:paraId="3D50879E" w14:textId="77777777" w:rsidR="005B4B9B" w:rsidRDefault="002764AE">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556F83A0" w14:textId="77777777" w:rsidR="005B4B9B" w:rsidRDefault="002764AE">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3219790D" w14:textId="77777777" w:rsidR="005B4B9B" w:rsidRDefault="002764AE">
            <w:pPr>
              <w:spacing w:after="240"/>
              <w:rPr>
                <w:sz w:val="20"/>
                <w:szCs w:val="20"/>
              </w:rPr>
            </w:pPr>
            <w:r>
              <w:rPr>
                <w:sz w:val="20"/>
                <w:szCs w:val="20"/>
              </w:rPr>
              <w:t> </w:t>
            </w:r>
          </w:p>
          <w:p w14:paraId="1645BF18" w14:textId="77777777" w:rsidR="005B4B9B" w:rsidRDefault="002764AE">
            <w:pPr>
              <w:rPr>
                <w:sz w:val="20"/>
                <w:szCs w:val="20"/>
              </w:rPr>
            </w:pPr>
            <w:r>
              <w:rPr>
                <w:sz w:val="20"/>
                <w:szCs w:val="20"/>
              </w:rPr>
              <w:t> </w:t>
            </w:r>
          </w:p>
        </w:tc>
      </w:tr>
      <w:tr w:rsidR="005B4B9B" w14:paraId="7F6C8214" w14:textId="77777777" w:rsidTr="002764AE">
        <w:trPr>
          <w:gridAfter w:val="1"/>
          <w:wAfter w:w="1500" w:type="pct"/>
        </w:trPr>
        <w:tc>
          <w:tcPr>
            <w:tcW w:w="1750" w:type="pct"/>
            <w:tcBorders>
              <w:top w:val="nil"/>
              <w:left w:val="nil"/>
              <w:bottom w:val="nil"/>
              <w:right w:val="nil"/>
            </w:tcBorders>
            <w:shd w:val="clear" w:color="auto" w:fill="auto"/>
            <w:tcMar>
              <w:top w:w="0" w:type="dxa"/>
              <w:left w:w="0" w:type="dxa"/>
              <w:bottom w:w="0" w:type="dxa"/>
              <w:right w:w="227" w:type="dxa"/>
            </w:tcMar>
          </w:tcPr>
          <w:p w14:paraId="55DD308B" w14:textId="77777777" w:rsidR="005B4B9B" w:rsidRDefault="005B4B9B">
            <w:pPr>
              <w:rPr>
                <w:sz w:val="20"/>
                <w:szCs w:val="20"/>
              </w:rPr>
            </w:pPr>
          </w:p>
        </w:tc>
        <w:tc>
          <w:tcPr>
            <w:tcW w:w="1750" w:type="pct"/>
            <w:tcBorders>
              <w:top w:val="nil"/>
              <w:left w:val="nil"/>
              <w:bottom w:val="nil"/>
              <w:right w:val="nil"/>
            </w:tcBorders>
            <w:shd w:val="clear" w:color="auto" w:fill="auto"/>
            <w:tcMar>
              <w:top w:w="0" w:type="dxa"/>
              <w:left w:w="0" w:type="dxa"/>
              <w:bottom w:w="0" w:type="dxa"/>
              <w:right w:w="227" w:type="dxa"/>
            </w:tcMar>
          </w:tcPr>
          <w:p w14:paraId="219C2CB9" w14:textId="77777777" w:rsidR="005B4B9B" w:rsidRDefault="005B4B9B">
            <w:pPr>
              <w:rPr>
                <w:sz w:val="20"/>
                <w:szCs w:val="20"/>
              </w:rPr>
            </w:pPr>
          </w:p>
        </w:tc>
      </w:tr>
    </w:tbl>
    <w:p w14:paraId="46C0B5CD" w14:textId="77777777" w:rsidR="002764AE" w:rsidRDefault="002764AE" w:rsidP="002764AE">
      <w:pPr>
        <w:spacing w:line="240" w:lineRule="auto"/>
        <w:rPr>
          <w:sz w:val="17"/>
          <w:szCs w:val="17"/>
        </w:rPr>
      </w:pPr>
      <w:r>
        <w:rPr>
          <w:b/>
          <w:sz w:val="17"/>
          <w:szCs w:val="17"/>
        </w:rPr>
        <w:t>1</w:t>
      </w:r>
      <w:r>
        <w:rPr>
          <w:sz w:val="17"/>
          <w:szCs w:val="17"/>
        </w:rPr>
        <w:t xml:space="preserve"> Stanislas Hug ist Geschäftsführer von Häfele Singapur &amp; Kambodscha. Er sieht viele Chancen für Projekte und Produktion in dem aufstrebenden südostasiatischen Land.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764AE" w14:paraId="6CF6F7BD" w14:textId="77777777" w:rsidTr="00A11584">
        <w:tc>
          <w:tcPr>
            <w:tcW w:w="2444" w:type="pct"/>
            <w:tcBorders>
              <w:top w:val="nil"/>
              <w:left w:val="nil"/>
              <w:bottom w:val="nil"/>
              <w:right w:val="nil"/>
            </w:tcBorders>
            <w:shd w:val="clear" w:color="auto" w:fill="auto"/>
            <w:tcMar>
              <w:top w:w="0" w:type="dxa"/>
              <w:left w:w="0" w:type="dxa"/>
              <w:bottom w:w="0" w:type="dxa"/>
              <w:right w:w="0" w:type="dxa"/>
            </w:tcMar>
          </w:tcPr>
          <w:p w14:paraId="6A0B5D80" w14:textId="77777777" w:rsidR="002764AE" w:rsidRDefault="002764AE" w:rsidP="00A11584">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10EE425" w14:textId="77777777" w:rsidR="002764AE" w:rsidRDefault="002764AE" w:rsidP="00A1158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35347D1" w14:textId="77777777" w:rsidR="002764AE" w:rsidRDefault="002764AE" w:rsidP="00A11584">
            <w:pPr>
              <w:keepNext/>
              <w:keepLines/>
              <w:spacing w:line="240" w:lineRule="auto"/>
              <w:rPr>
                <w:sz w:val="14"/>
                <w:szCs w:val="14"/>
              </w:rPr>
            </w:pPr>
          </w:p>
        </w:tc>
      </w:tr>
      <w:tr w:rsidR="002764AE" w14:paraId="522DFA66" w14:textId="77777777" w:rsidTr="00A1158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98AED31" w14:textId="77777777" w:rsidR="002764AE" w:rsidRDefault="002764AE" w:rsidP="00A11584">
            <w:pPr>
              <w:keepNext/>
              <w:keepLines/>
              <w:spacing w:line="240" w:lineRule="auto"/>
              <w:rPr>
                <w:sz w:val="14"/>
                <w:szCs w:val="14"/>
              </w:rPr>
            </w:pPr>
            <w:r>
              <w:rPr>
                <w:noProof/>
                <w:sz w:val="14"/>
                <w:szCs w:val="14"/>
              </w:rPr>
              <w:drawing>
                <wp:inline distT="0" distB="0" distL="0" distR="0" wp14:anchorId="48EC0E72" wp14:editId="22F2FAC4">
                  <wp:extent cx="13436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1BA616B" w14:textId="77777777" w:rsidR="002764AE" w:rsidRDefault="002764AE" w:rsidP="00A1158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6381FF0" w14:textId="77777777" w:rsidR="002764AE" w:rsidRDefault="002764AE" w:rsidP="00A11584">
            <w:pPr>
              <w:keepNext/>
              <w:keepLines/>
              <w:spacing w:line="240" w:lineRule="auto"/>
              <w:rPr>
                <w:sz w:val="17"/>
                <w:szCs w:val="17"/>
              </w:rPr>
            </w:pPr>
          </w:p>
        </w:tc>
      </w:tr>
    </w:tbl>
    <w:p w14:paraId="59AC776C" w14:textId="4AB0A06C" w:rsidR="005B4B9B" w:rsidRDefault="005B4B9B" w:rsidP="002764AE"/>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B4B9B" w14:paraId="3E325818"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E4D4E1D" w14:textId="77777777" w:rsidR="002764AE" w:rsidRDefault="002764AE">
            <w:pPr>
              <w:spacing w:before="240" w:after="240"/>
              <w:rPr>
                <w:b/>
                <w:sz w:val="20"/>
                <w:szCs w:val="20"/>
                <w:lang w:val="en-GB"/>
              </w:rPr>
            </w:pPr>
          </w:p>
          <w:p w14:paraId="7D744E23" w14:textId="77777777" w:rsidR="002764AE" w:rsidRDefault="002764AE">
            <w:pPr>
              <w:spacing w:before="240" w:after="240"/>
              <w:rPr>
                <w:b/>
                <w:sz w:val="20"/>
                <w:szCs w:val="20"/>
                <w:lang w:val="en-GB"/>
              </w:rPr>
            </w:pPr>
          </w:p>
          <w:p w14:paraId="37086064" w14:textId="77777777" w:rsidR="002764AE" w:rsidRDefault="002764AE">
            <w:pPr>
              <w:spacing w:before="240" w:after="240"/>
              <w:rPr>
                <w:b/>
                <w:sz w:val="20"/>
                <w:szCs w:val="20"/>
                <w:lang w:val="en-GB"/>
              </w:rPr>
            </w:pPr>
          </w:p>
          <w:p w14:paraId="18C973EB" w14:textId="77777777" w:rsidR="002764AE" w:rsidRDefault="002764AE">
            <w:pPr>
              <w:spacing w:before="240" w:after="240"/>
              <w:rPr>
                <w:b/>
                <w:sz w:val="20"/>
                <w:szCs w:val="20"/>
                <w:lang w:val="en-GB"/>
              </w:rPr>
            </w:pPr>
          </w:p>
          <w:p w14:paraId="1804453F" w14:textId="77777777" w:rsidR="002764AE" w:rsidRDefault="002764AE">
            <w:pPr>
              <w:spacing w:before="240" w:after="240"/>
              <w:rPr>
                <w:b/>
                <w:sz w:val="20"/>
                <w:szCs w:val="20"/>
                <w:lang w:val="en-GB"/>
              </w:rPr>
            </w:pPr>
          </w:p>
          <w:p w14:paraId="37EE8C49" w14:textId="77777777" w:rsidR="002764AE" w:rsidRDefault="002764AE">
            <w:pPr>
              <w:spacing w:before="240" w:after="240"/>
              <w:rPr>
                <w:b/>
                <w:sz w:val="20"/>
                <w:szCs w:val="20"/>
                <w:lang w:val="en-GB"/>
              </w:rPr>
            </w:pPr>
          </w:p>
          <w:p w14:paraId="7748DEBF" w14:textId="77777777" w:rsidR="002764AE" w:rsidRDefault="002764AE">
            <w:pPr>
              <w:spacing w:before="240" w:after="240"/>
              <w:rPr>
                <w:b/>
                <w:sz w:val="20"/>
                <w:szCs w:val="20"/>
                <w:lang w:val="en-GB"/>
              </w:rPr>
            </w:pPr>
          </w:p>
          <w:p w14:paraId="397D6BB2" w14:textId="77777777" w:rsidR="002764AE" w:rsidRDefault="002764AE">
            <w:pPr>
              <w:spacing w:before="240" w:after="240"/>
              <w:rPr>
                <w:b/>
                <w:sz w:val="20"/>
                <w:szCs w:val="20"/>
                <w:lang w:val="en-GB"/>
              </w:rPr>
            </w:pPr>
          </w:p>
          <w:p w14:paraId="63CCDA95" w14:textId="77777777" w:rsidR="002764AE" w:rsidRDefault="002764AE">
            <w:pPr>
              <w:spacing w:before="240" w:after="240"/>
              <w:rPr>
                <w:b/>
                <w:sz w:val="20"/>
                <w:szCs w:val="20"/>
                <w:lang w:val="en-GB"/>
              </w:rPr>
            </w:pPr>
          </w:p>
          <w:p w14:paraId="6F03182B" w14:textId="77777777" w:rsidR="002764AE" w:rsidRDefault="002764AE">
            <w:pPr>
              <w:spacing w:before="240" w:after="240"/>
              <w:rPr>
                <w:b/>
                <w:sz w:val="20"/>
                <w:szCs w:val="20"/>
                <w:lang w:val="en-GB"/>
              </w:rPr>
            </w:pPr>
          </w:p>
          <w:p w14:paraId="2B56D5C9" w14:textId="77777777" w:rsidR="002764AE" w:rsidRDefault="002764AE">
            <w:pPr>
              <w:spacing w:before="240" w:after="240"/>
              <w:rPr>
                <w:b/>
                <w:sz w:val="20"/>
                <w:szCs w:val="20"/>
                <w:lang w:val="en-GB"/>
              </w:rPr>
            </w:pPr>
          </w:p>
          <w:p w14:paraId="4742958E" w14:textId="77777777" w:rsidR="007A181E" w:rsidRDefault="007A181E">
            <w:pPr>
              <w:spacing w:before="240" w:after="240"/>
              <w:rPr>
                <w:b/>
                <w:sz w:val="20"/>
                <w:szCs w:val="20"/>
                <w:lang w:val="en-GB"/>
              </w:rPr>
            </w:pPr>
          </w:p>
          <w:p w14:paraId="4F746CF7" w14:textId="77777777" w:rsidR="007A181E" w:rsidRDefault="007A181E">
            <w:pPr>
              <w:spacing w:before="240" w:after="240"/>
              <w:rPr>
                <w:b/>
                <w:sz w:val="20"/>
                <w:szCs w:val="20"/>
                <w:lang w:val="en-GB"/>
              </w:rPr>
            </w:pPr>
          </w:p>
          <w:p w14:paraId="486E4965" w14:textId="60704E30" w:rsidR="005B4B9B" w:rsidRPr="00537AAE" w:rsidRDefault="002764AE">
            <w:pPr>
              <w:spacing w:before="240" w:after="240"/>
              <w:rPr>
                <w:sz w:val="20"/>
                <w:szCs w:val="20"/>
                <w:lang w:val="en-GB"/>
              </w:rPr>
            </w:pPr>
            <w:proofErr w:type="spellStart"/>
            <w:r w:rsidRPr="00537AAE">
              <w:rPr>
                <w:b/>
                <w:sz w:val="20"/>
                <w:szCs w:val="20"/>
                <w:lang w:val="en-GB"/>
              </w:rPr>
              <w:t>Über</w:t>
            </w:r>
            <w:proofErr w:type="spellEnd"/>
            <w:r w:rsidRPr="00537AAE">
              <w:rPr>
                <w:b/>
                <w:sz w:val="20"/>
                <w:szCs w:val="20"/>
                <w:lang w:val="en-GB"/>
              </w:rPr>
              <w:t xml:space="preserve"> </w:t>
            </w:r>
            <w:proofErr w:type="spellStart"/>
            <w:r w:rsidRPr="00537AAE">
              <w:rPr>
                <w:b/>
                <w:sz w:val="20"/>
                <w:szCs w:val="20"/>
                <w:lang w:val="en-GB"/>
              </w:rPr>
              <w:t>Häfele</w:t>
            </w:r>
            <w:proofErr w:type="spellEnd"/>
          </w:p>
          <w:p w14:paraId="4A027564" w14:textId="77777777" w:rsidR="005B4B9B" w:rsidRDefault="002764AE">
            <w:pPr>
              <w:spacing w:before="240" w:after="240"/>
              <w:rPr>
                <w:sz w:val="20"/>
                <w:szCs w:val="20"/>
              </w:rPr>
            </w:pPr>
            <w:r w:rsidRPr="00537AAE">
              <w:rPr>
                <w:b/>
                <w:sz w:val="20"/>
                <w:szCs w:val="20"/>
                <w:lang w:val="en-GB"/>
              </w:rPr>
              <w:t xml:space="preserve">Maximising the value of space. </w:t>
            </w:r>
            <w:proofErr w:type="spellStart"/>
            <w:r>
              <w:rPr>
                <w:b/>
                <w:sz w:val="20"/>
                <w:szCs w:val="20"/>
              </w:rPr>
              <w:t>Together</w:t>
            </w:r>
            <w:proofErr w:type="spellEnd"/>
            <w:r>
              <w:rPr>
                <w:b/>
                <w:sz w:val="20"/>
                <w:szCs w:val="20"/>
              </w:rPr>
              <w:t>.</w:t>
            </w:r>
          </w:p>
          <w:p w14:paraId="5B5E6507" w14:textId="77777777" w:rsidR="005B4B9B" w:rsidRDefault="002764AE">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4F56A65E" w14:textId="77777777" w:rsidR="005B4B9B" w:rsidRDefault="002764AE">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4A394268" w14:textId="77777777" w:rsidR="005B4B9B" w:rsidRDefault="002764AE">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11B57CF4" w14:textId="77777777" w:rsidR="005B4B9B" w:rsidRDefault="002764AE">
            <w:pPr>
              <w:spacing w:before="240" w:after="240"/>
              <w:rPr>
                <w:sz w:val="20"/>
                <w:szCs w:val="20"/>
              </w:rPr>
            </w:pPr>
            <w:r>
              <w:rPr>
                <w:sz w:val="20"/>
                <w:szCs w:val="20"/>
              </w:rPr>
              <w:t xml:space="preserve">Weitere Informationen unter </w:t>
            </w:r>
            <w:hyperlink r:id="rId8">
              <w:r>
                <w:rPr>
                  <w:rStyle w:val="Hyperlink"/>
                  <w:color w:val="000000"/>
                  <w:sz w:val="20"/>
                  <w:szCs w:val="20"/>
                </w:rPr>
                <w:t>www.haefele.de</w:t>
              </w:r>
            </w:hyperlink>
          </w:p>
          <w:p w14:paraId="7A876910" w14:textId="77777777" w:rsidR="005B4B9B" w:rsidRDefault="002764AE">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37D69581" w14:textId="77777777" w:rsidR="005B4B9B" w:rsidRDefault="002764AE">
            <w:pPr>
              <w:rPr>
                <w:sz w:val="20"/>
                <w:szCs w:val="20"/>
              </w:rPr>
            </w:pPr>
            <w:r>
              <w:rPr>
                <w:sz w:val="20"/>
                <w:szCs w:val="20"/>
              </w:rPr>
              <w:lastRenderedPageBreak/>
              <w:br/>
            </w:r>
          </w:p>
        </w:tc>
      </w:tr>
      <w:tr w:rsidR="005B4B9B" w14:paraId="6E2C80D3"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C6A6F94" w14:textId="77777777" w:rsidR="005B4B9B" w:rsidRDefault="005B4B9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A4758F6" w14:textId="77777777" w:rsidR="005B4B9B" w:rsidRDefault="005B4B9B">
            <w:pPr>
              <w:rPr>
                <w:sz w:val="20"/>
                <w:szCs w:val="20"/>
              </w:rPr>
            </w:pPr>
          </w:p>
        </w:tc>
      </w:tr>
    </w:tbl>
    <w:p w14:paraId="3C5705FB" w14:textId="77777777" w:rsidR="005B4B9B" w:rsidRDefault="002764AE">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B4B9B" w14:paraId="6DCB5499"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18D343D" w14:textId="77777777" w:rsidR="005B4B9B" w:rsidRDefault="002764AE">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511A01FE" w14:textId="77777777" w:rsidR="005B4B9B" w:rsidRDefault="002764AE">
            <w:pPr>
              <w:rPr>
                <w:sz w:val="20"/>
                <w:szCs w:val="20"/>
              </w:rPr>
            </w:pPr>
            <w:r>
              <w:rPr>
                <w:sz w:val="20"/>
                <w:szCs w:val="20"/>
              </w:rPr>
              <w:br/>
            </w:r>
          </w:p>
        </w:tc>
      </w:tr>
      <w:tr w:rsidR="005B4B9B" w14:paraId="15496B69"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C795DEE" w14:textId="77777777" w:rsidR="005B4B9B" w:rsidRDefault="005B4B9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715401D" w14:textId="77777777" w:rsidR="005B4B9B" w:rsidRDefault="005B4B9B">
            <w:pPr>
              <w:rPr>
                <w:sz w:val="20"/>
                <w:szCs w:val="20"/>
              </w:rPr>
            </w:pPr>
          </w:p>
        </w:tc>
      </w:tr>
    </w:tbl>
    <w:p w14:paraId="3CAA4A93" w14:textId="77777777" w:rsidR="005B4B9B" w:rsidRDefault="002764AE">
      <w:r>
        <w:rPr>
          <w:noProof/>
          <w:sz w:val="18"/>
          <w:szCs w:val="18"/>
        </w:rPr>
        <w:lastRenderedPageBreak/>
        <w:drawing>
          <wp:inline distT="0" distB="0" distL="0" distR="0" wp14:anchorId="1089CF26" wp14:editId="11DCADA3">
            <wp:extent cx="1800860" cy="18008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800860" cy="1800860"/>
                    </a:xfrm>
                    <a:prstGeom prst="rect">
                      <a:avLst/>
                    </a:prstGeom>
                  </pic:spPr>
                </pic:pic>
              </a:graphicData>
            </a:graphic>
          </wp:inline>
        </w:drawing>
      </w:r>
      <w:r>
        <w:rPr>
          <w:sz w:val="18"/>
          <w:szCs w:val="18"/>
        </w:rPr>
        <w:br/>
      </w:r>
    </w:p>
    <w:sectPr w:rsidR="005B4B9B">
      <w:headerReference w:type="default" r:id="rId10"/>
      <w:footerReference w:type="default" r:id="rId11"/>
      <w:headerReference w:type="first" r:id="rId12"/>
      <w:footerReference w:type="first" r:id="rId13"/>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CCB98" w14:textId="77777777" w:rsidR="002764AE" w:rsidRDefault="002764AE">
      <w:pPr>
        <w:spacing w:line="240" w:lineRule="auto"/>
      </w:pPr>
      <w:r>
        <w:separator/>
      </w:r>
    </w:p>
  </w:endnote>
  <w:endnote w:type="continuationSeparator" w:id="0">
    <w:p w14:paraId="073B4C57" w14:textId="77777777" w:rsidR="002764AE" w:rsidRDefault="002764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5B4B9B" w14:paraId="0DA7ADCB"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7C8926E" w14:textId="77777777" w:rsidR="005B4B9B" w:rsidRDefault="005B4B9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4A65F6D" w14:textId="77777777" w:rsidR="005B4B9B" w:rsidRDefault="005B4B9B">
          <w:pPr>
            <w:rPr>
              <w:sz w:val="14"/>
              <w:szCs w:val="14"/>
            </w:rPr>
          </w:pPr>
        </w:p>
      </w:tc>
    </w:tr>
  </w:tbl>
  <w:p w14:paraId="74C30C60" w14:textId="77777777" w:rsidR="005B4B9B" w:rsidRDefault="005B4B9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5B4B9B" w14:paraId="3CE3A6EF"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64B7C41" w14:textId="77777777" w:rsidR="005B4B9B" w:rsidRDefault="005B4B9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8EAA5B3" w14:textId="77777777" w:rsidR="005B4B9B" w:rsidRDefault="005B4B9B">
          <w:pPr>
            <w:rPr>
              <w:sz w:val="14"/>
              <w:szCs w:val="14"/>
            </w:rPr>
          </w:pPr>
        </w:p>
      </w:tc>
    </w:tr>
  </w:tbl>
  <w:p w14:paraId="0487EFAD" w14:textId="77777777" w:rsidR="005B4B9B" w:rsidRDefault="005B4B9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12840" w14:textId="77777777" w:rsidR="002764AE" w:rsidRDefault="002764AE">
      <w:pPr>
        <w:spacing w:line="240" w:lineRule="auto"/>
      </w:pPr>
      <w:r>
        <w:separator/>
      </w:r>
    </w:p>
  </w:footnote>
  <w:footnote w:type="continuationSeparator" w:id="0">
    <w:p w14:paraId="44C15DA5" w14:textId="77777777" w:rsidR="002764AE" w:rsidRDefault="002764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6B65" w14:textId="77777777" w:rsidR="005B4B9B" w:rsidRDefault="002764AE">
    <w:r>
      <w:rPr>
        <w:noProof/>
      </w:rPr>
      <w:drawing>
        <wp:anchor distT="0" distB="0" distL="114300" distR="114300" simplePos="0" relativeHeight="251659264" behindDoc="0" locked="0" layoutInCell="0" allowOverlap="0" wp14:anchorId="07724EAB" wp14:editId="4740A327">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FCB4B" w14:textId="77777777" w:rsidR="005B4B9B" w:rsidRDefault="002764AE">
    <w:r>
      <w:rPr>
        <w:noProof/>
      </w:rPr>
      <w:drawing>
        <wp:anchor distT="0" distB="0" distL="114300" distR="114300" simplePos="0" relativeHeight="251658240" behindDoc="0" locked="0" layoutInCell="0" allowOverlap="0" wp14:anchorId="15BFEF61" wp14:editId="7F4F1867">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B9B"/>
    <w:rsid w:val="002764AE"/>
    <w:rsid w:val="00537AAE"/>
    <w:rsid w:val="005B4B9B"/>
    <w:rsid w:val="00704808"/>
    <w:rsid w:val="007A18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2FA06"/>
  <w15:docId w15:val="{2805FF1A-8C99-49B0-BD39-1E7AD7341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haefele.de/de/"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552</Words>
  <Characters>3483</Characters>
  <Application>Microsoft Office Word</Application>
  <DocSecurity>0</DocSecurity>
  <Lines>29</Lines>
  <Paragraphs>8</Paragraphs>
  <ScaleCrop>false</ScaleCrop>
  <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2024-03-18T11:52:00Z</dcterms:created>
  <dcterms:modified xsi:type="dcterms:W3CDTF">2024-03-18T11:52:00Z</dcterms:modified>
</cp:coreProperties>
</file>