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990939" w14:textId="77777777" w:rsidR="006F35C7" w:rsidRDefault="00774C35">
      <w:pPr>
        <w:rPr>
          <w:rFonts w:eastAsia="Arial"/>
          <w:sz w:val="8"/>
          <w:szCs w:val="8"/>
        </w:rPr>
      </w:pPr>
      <w:proofErr w:type="spellStart"/>
      <w:r>
        <w:rPr>
          <w:b/>
          <w:bCs/>
          <w:sz w:val="32"/>
          <w:szCs w:val="32"/>
        </w:rPr>
        <w:t>Büroloft</w:t>
      </w:r>
      <w:proofErr w:type="spellEnd"/>
      <w:r>
        <w:rPr>
          <w:b/>
          <w:bCs/>
          <w:sz w:val="32"/>
          <w:szCs w:val="32"/>
        </w:rPr>
        <w:t xml:space="preserve"> statt Gemeindehaus</w:t>
      </w:r>
      <w:r>
        <w:rPr>
          <w:b/>
          <w:bCs/>
          <w:sz w:val="32"/>
          <w:szCs w:val="32"/>
        </w:rPr>
        <w:br/>
      </w:r>
      <w:r>
        <w:rPr>
          <w:rFonts w:eastAsia="Arial"/>
        </w:rPr>
        <w:t>Zeitloser Innenraum: Bauen im Bestand mit Produktlösungen von Häfele</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6F35C7" w14:paraId="79147C05"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38037E63" w14:textId="77777777" w:rsidR="006F35C7" w:rsidRDefault="00774C35">
            <w:pPr>
              <w:rPr>
                <w:sz w:val="18"/>
                <w:szCs w:val="18"/>
              </w:rPr>
            </w:pPr>
            <w:r>
              <w:rPr>
                <w:noProof/>
                <w:sz w:val="18"/>
                <w:szCs w:val="18"/>
              </w:rPr>
              <w:drawing>
                <wp:inline distT="0" distB="0" distL="0" distR="0" wp14:anchorId="43B08644" wp14:editId="44CF06F9">
                  <wp:extent cx="3995420" cy="2663825"/>
                  <wp:effectExtent l="0" t="0" r="5080" b="3175"/>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cstate="print">
                            <a:extLst>
                              <a:ext uri="{28A0092B-C50C-407E-A947-70E740481C1C}">
                                <a14:useLocalDpi xmlns:a14="http://schemas.microsoft.com/office/drawing/2010/main"/>
                              </a:ext>
                            </a:extLst>
                          </a:blip>
                          <a:srcRect/>
                          <a:stretch>
                            <a:fillRect/>
                          </a:stretch>
                        </pic:blipFill>
                        <pic:spPr>
                          <a:xfrm>
                            <a:off x="0" y="0"/>
                            <a:ext cx="3995420" cy="2663825"/>
                          </a:xfrm>
                          <a:prstGeom prst="rect">
                            <a:avLst/>
                          </a:prstGeom>
                        </pic:spPr>
                      </pic:pic>
                    </a:graphicData>
                  </a:graphic>
                </wp:inline>
              </w:drawing>
            </w:r>
          </w:p>
        </w:tc>
      </w:tr>
    </w:tbl>
    <w:p w14:paraId="21E6C6C7" w14:textId="77777777" w:rsidR="006F35C7" w:rsidRDefault="00774C35">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F35C7" w14:paraId="62FAF647"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2D64769E" w14:textId="6621BB7A" w:rsidR="006F35C7" w:rsidRPr="00F77544" w:rsidRDefault="00774C35">
            <w:pPr>
              <w:spacing w:after="240"/>
              <w:rPr>
                <w:i/>
                <w:sz w:val="20"/>
                <w:szCs w:val="20"/>
              </w:rPr>
            </w:pPr>
            <w:r>
              <w:rPr>
                <w:i/>
                <w:sz w:val="20"/>
                <w:szCs w:val="20"/>
              </w:rPr>
              <w:t>Die Umnutzung von Kirchen und Gemeindezentren erfordert viel Feingefühl, um die wertvolle, oft denkmalgeschützte Architektur zu bewahren und gleichzeitig eine neue Nutzung zu ermöglichen, die den ursprünglichen Sakralraum würdigt. Ein herausragendes Beispiel dafür ist das evangelische Gemeindehaus in Bad Kissingen aus den 1960er Jahren.</w:t>
            </w:r>
          </w:p>
          <w:p w14:paraId="02275954" w14:textId="77777777" w:rsidR="006F35C7" w:rsidRDefault="00774C35">
            <w:pPr>
              <w:spacing w:after="240"/>
              <w:rPr>
                <w:sz w:val="20"/>
                <w:szCs w:val="20"/>
              </w:rPr>
            </w:pPr>
            <w:r>
              <w:rPr>
                <w:sz w:val="20"/>
                <w:szCs w:val="20"/>
              </w:rPr>
              <w:t xml:space="preserve">Dank sensibler Planung konnte das Gebäude mit minimalem Aufwand einer neuen Bestimmung als </w:t>
            </w:r>
            <w:proofErr w:type="spellStart"/>
            <w:r>
              <w:rPr>
                <w:sz w:val="20"/>
                <w:szCs w:val="20"/>
              </w:rPr>
              <w:t>Büroloft</w:t>
            </w:r>
            <w:proofErr w:type="spellEnd"/>
            <w:r>
              <w:rPr>
                <w:sz w:val="20"/>
                <w:szCs w:val="20"/>
              </w:rPr>
              <w:t xml:space="preserve"> zugeführt werden, wodurch sein Lebenszyklus erheblich verlängert wurde. Häfele hat mit zwei mobilen Glastrennwänden dazu beigetragen, den ehemals großen Gemeindesaal flexibler nutzen zu können. Über den Verarbeiter kamen zahlreiche weitere Produkte aus dem Häfele Sortiment zum Einsatz: vom höhenverstellbaren Schreibtischgestell </w:t>
            </w:r>
            <w:proofErr w:type="spellStart"/>
            <w:r>
              <w:rPr>
                <w:sz w:val="20"/>
                <w:szCs w:val="20"/>
              </w:rPr>
              <w:t>Officys</w:t>
            </w:r>
            <w:proofErr w:type="spellEnd"/>
            <w:r>
              <w:rPr>
                <w:sz w:val="20"/>
                <w:szCs w:val="20"/>
              </w:rPr>
              <w:t xml:space="preserve"> über Lichtlösungen von Häfele </w:t>
            </w:r>
            <w:proofErr w:type="spellStart"/>
            <w:r>
              <w:rPr>
                <w:sz w:val="20"/>
                <w:szCs w:val="20"/>
              </w:rPr>
              <w:t>Lighting</w:t>
            </w:r>
            <w:proofErr w:type="spellEnd"/>
            <w:r>
              <w:rPr>
                <w:sz w:val="20"/>
                <w:szCs w:val="20"/>
              </w:rPr>
              <w:t xml:space="preserve"> bis zu Möbelbeschlägen der Lieferanten Blum und Hawa.</w:t>
            </w:r>
          </w:p>
          <w:p w14:paraId="3A9A9B65" w14:textId="77777777" w:rsidR="006F35C7" w:rsidRDefault="00774C35">
            <w:pPr>
              <w:spacing w:after="240"/>
              <w:rPr>
                <w:sz w:val="20"/>
                <w:szCs w:val="20"/>
              </w:rPr>
            </w:pPr>
            <w:r>
              <w:rPr>
                <w:b/>
                <w:sz w:val="20"/>
                <w:szCs w:val="20"/>
              </w:rPr>
              <w:t>Nachhaltige Lösung für das denkmalgeschützte Gemeindehaus </w:t>
            </w:r>
          </w:p>
          <w:p w14:paraId="58484E27" w14:textId="77777777" w:rsidR="006F35C7" w:rsidRDefault="00774C35">
            <w:pPr>
              <w:spacing w:after="240"/>
              <w:rPr>
                <w:sz w:val="20"/>
                <w:szCs w:val="20"/>
              </w:rPr>
            </w:pPr>
            <w:r>
              <w:rPr>
                <w:sz w:val="20"/>
                <w:szCs w:val="20"/>
              </w:rPr>
              <w:t xml:space="preserve">Daniel Dahinten, Partner von TRAGRAUM Ingenieure, suchte für den expandierenden Standort in Bad Kissingen Büroräume für bis zu 15 Mitarbeitende. Die Räume sollten kreative Entfaltung fördern, der flachen Hierarchie des Unternehmens gerecht werden und eine eigene Geschichte im Kontext der Stadt Bad Kissingen mitbringen. Dieser Ansatz überzeugte schließlich die evangelische Gemeinde, sodass ein Abriss des Gemeindehauses durch die Pläne anderer Kaufinteressenten 2019 verhindert werden konnte. 2021 wurde das von Hans-Busso von Busse in den 1960er Jahren entworfene Gebäude unter Denkmalschutz gestellt, </w:t>
            </w:r>
            <w:r>
              <w:rPr>
                <w:sz w:val="20"/>
                <w:szCs w:val="20"/>
              </w:rPr>
              <w:lastRenderedPageBreak/>
              <w:t>was eine besonders sorgfältige Planung und intensive Abstimmungen mit den Behörden erforderte.</w:t>
            </w:r>
          </w:p>
          <w:p w14:paraId="68EB248D" w14:textId="77777777" w:rsidR="006F35C7" w:rsidRDefault="00774C35">
            <w:pPr>
              <w:spacing w:after="240"/>
              <w:rPr>
                <w:sz w:val="20"/>
                <w:szCs w:val="20"/>
              </w:rPr>
            </w:pPr>
            <w:r>
              <w:rPr>
                <w:b/>
                <w:sz w:val="20"/>
                <w:szCs w:val="20"/>
              </w:rPr>
              <w:t xml:space="preserve">Häfele Lösungen im </w:t>
            </w:r>
            <w:proofErr w:type="spellStart"/>
            <w:r>
              <w:rPr>
                <w:b/>
                <w:sz w:val="20"/>
                <w:szCs w:val="20"/>
              </w:rPr>
              <w:t>Büroloft</w:t>
            </w:r>
            <w:proofErr w:type="spellEnd"/>
          </w:p>
          <w:p w14:paraId="1FE63521" w14:textId="77777777" w:rsidR="006F35C7" w:rsidRDefault="00774C35">
            <w:pPr>
              <w:spacing w:after="240"/>
              <w:rPr>
                <w:sz w:val="20"/>
                <w:szCs w:val="20"/>
              </w:rPr>
            </w:pPr>
            <w:r>
              <w:rPr>
                <w:sz w:val="20"/>
                <w:szCs w:val="20"/>
              </w:rPr>
              <w:t xml:space="preserve">Die offene Gestaltung des Erdgeschosses bietet vielseitige Nutzungsmöglichkeiten, sowohl für die aktuellen Anforderungen des Ingenieurbüros als auch für zukünftige Nutzungen, falls die Räumlichkeiten einmal anders genutzt werden sollten. Durch minimale Eingriffe blieb die Flexibilität des Innenraums erhalten, sodass es jederzeit möglich ist, die Räume erneut anders zu belegen. Der ehemalige große Saal, nun als </w:t>
            </w:r>
            <w:proofErr w:type="spellStart"/>
            <w:r>
              <w:rPr>
                <w:sz w:val="20"/>
                <w:szCs w:val="20"/>
              </w:rPr>
              <w:t>Büroloft</w:t>
            </w:r>
            <w:proofErr w:type="spellEnd"/>
            <w:r>
              <w:rPr>
                <w:sz w:val="20"/>
                <w:szCs w:val="20"/>
              </w:rPr>
              <w:t xml:space="preserve"> genutzt, konnte durch die Integration raumhoher mobiler Glastrennwände von Häfele in zwei beziehungsweise drei separate Bereiche unterteilt werden, ohne die Transparenz und Offenheit des Raumes zu beeinträchtigen.</w:t>
            </w:r>
          </w:p>
          <w:p w14:paraId="5D90E8C9" w14:textId="77777777" w:rsidR="006F35C7" w:rsidRDefault="00774C35">
            <w:pPr>
              <w:spacing w:after="240"/>
              <w:rPr>
                <w:sz w:val="20"/>
                <w:szCs w:val="20"/>
              </w:rPr>
            </w:pPr>
            <w:r>
              <w:rPr>
                <w:sz w:val="20"/>
                <w:szCs w:val="20"/>
              </w:rPr>
              <w:t>Zudem tragen höhenverstellbare Tischgestelle aus dem Eigensortiment „</w:t>
            </w:r>
            <w:proofErr w:type="spellStart"/>
            <w:r>
              <w:rPr>
                <w:sz w:val="20"/>
                <w:szCs w:val="20"/>
              </w:rPr>
              <w:t>Officys</w:t>
            </w:r>
            <w:proofErr w:type="spellEnd"/>
            <w:r>
              <w:rPr>
                <w:sz w:val="20"/>
                <w:szCs w:val="20"/>
              </w:rPr>
              <w:t>“ zu einem modernem, kreativen Arbeitsumfeld bei.</w:t>
            </w:r>
          </w:p>
          <w:p w14:paraId="1B3F50E5" w14:textId="77777777" w:rsidR="006F35C7" w:rsidRDefault="00774C35">
            <w:pPr>
              <w:spacing w:after="240"/>
              <w:rPr>
                <w:sz w:val="20"/>
                <w:szCs w:val="20"/>
              </w:rPr>
            </w:pPr>
            <w:r>
              <w:rPr>
                <w:b/>
                <w:sz w:val="20"/>
                <w:szCs w:val="20"/>
              </w:rPr>
              <w:t>Die Küchenlösung</w:t>
            </w:r>
          </w:p>
          <w:p w14:paraId="670F2DEA" w14:textId="77777777" w:rsidR="006F35C7" w:rsidRDefault="00774C35">
            <w:pPr>
              <w:spacing w:after="240"/>
              <w:rPr>
                <w:sz w:val="20"/>
                <w:szCs w:val="20"/>
              </w:rPr>
            </w:pPr>
            <w:r>
              <w:rPr>
                <w:sz w:val="20"/>
                <w:szCs w:val="20"/>
              </w:rPr>
              <w:t>In der Innenraumabfolge beeindruckt die neue Büroküche im ehemaligen kleinen Saal, quasi als Fortsetzung des ebenfalls ergänzten Rezeptionsbereichs. Sie wurde aus Elementen des originalen Wandschranks konzipiert und gestaltet. Im geschlossenen Zustand erscheint ein Teil der Küchenzeile als schlichter Wandschrank; geöffnet offenbart dieser Bereich Spülbecken, Arbeitsfläche, Regale und Schubladen. Die historischen Schranktüren und Teilungsbretter aus Carolina Pine Wood, baute die Schreinerei zu Falttüren mit neuer Einteilung um. Die dafür verwendeten Lösungen von Hawa und Blum aus dem Häfele Portfolio wurden dem Verarbeiter aus einer Hand zur Verfügung gestellt.</w:t>
            </w:r>
          </w:p>
          <w:p w14:paraId="4C616A36" w14:textId="77777777" w:rsidR="006F35C7" w:rsidRDefault="00774C35">
            <w:pPr>
              <w:spacing w:after="240"/>
              <w:rPr>
                <w:sz w:val="20"/>
                <w:szCs w:val="20"/>
              </w:rPr>
            </w:pPr>
            <w:r>
              <w:rPr>
                <w:sz w:val="20"/>
                <w:szCs w:val="20"/>
              </w:rPr>
              <w:t xml:space="preserve">Das Projekt zeigt eindrucksvoll, wie mit einer durchdachten Planung und den richtigen Produkten historische Bauten nachhaltig umgenutzt werden können. Das evangelische Gemeindehaus in Bad Kissingen ist nun im Erdgeschoss ein modernes </w:t>
            </w:r>
            <w:proofErr w:type="spellStart"/>
            <w:r>
              <w:rPr>
                <w:sz w:val="20"/>
                <w:szCs w:val="20"/>
              </w:rPr>
              <w:t>Büroloft</w:t>
            </w:r>
            <w:proofErr w:type="spellEnd"/>
            <w:r>
              <w:rPr>
                <w:sz w:val="20"/>
                <w:szCs w:val="20"/>
              </w:rPr>
              <w:t>, dass sowohl die vorhandene Architektur respektiert als auch moderne und flexible Arbeitsplätze ganz selbstverständlich integriert.</w:t>
            </w:r>
          </w:p>
          <w:p w14:paraId="3371871E" w14:textId="77777777" w:rsidR="00F77544" w:rsidRDefault="00F77544">
            <w:pPr>
              <w:spacing w:after="240"/>
              <w:rPr>
                <w:b/>
                <w:sz w:val="20"/>
                <w:szCs w:val="20"/>
              </w:rPr>
            </w:pPr>
          </w:p>
          <w:p w14:paraId="6D9F8602" w14:textId="77777777" w:rsidR="00F77544" w:rsidRDefault="00F77544">
            <w:pPr>
              <w:spacing w:after="240"/>
              <w:rPr>
                <w:b/>
                <w:sz w:val="20"/>
                <w:szCs w:val="20"/>
              </w:rPr>
            </w:pPr>
          </w:p>
          <w:p w14:paraId="373F7374" w14:textId="77777777" w:rsidR="00F77544" w:rsidRDefault="00F77544">
            <w:pPr>
              <w:spacing w:after="240"/>
              <w:rPr>
                <w:b/>
                <w:sz w:val="20"/>
                <w:szCs w:val="20"/>
              </w:rPr>
            </w:pPr>
          </w:p>
          <w:p w14:paraId="784641BD" w14:textId="77777777" w:rsidR="00F77544" w:rsidRDefault="00F77544">
            <w:pPr>
              <w:spacing w:after="240"/>
              <w:rPr>
                <w:b/>
                <w:sz w:val="20"/>
                <w:szCs w:val="20"/>
              </w:rPr>
            </w:pPr>
          </w:p>
          <w:p w14:paraId="67F89DA7" w14:textId="77777777" w:rsidR="00F77544" w:rsidRDefault="00F77544">
            <w:pPr>
              <w:spacing w:after="240"/>
              <w:rPr>
                <w:b/>
                <w:sz w:val="20"/>
                <w:szCs w:val="20"/>
              </w:rPr>
            </w:pPr>
          </w:p>
          <w:p w14:paraId="50346B4A" w14:textId="3A54F2EF" w:rsidR="006F35C7" w:rsidRDefault="00774C35">
            <w:pPr>
              <w:spacing w:after="240"/>
              <w:rPr>
                <w:sz w:val="20"/>
                <w:szCs w:val="20"/>
              </w:rPr>
            </w:pPr>
            <w:proofErr w:type="spellStart"/>
            <w:r>
              <w:rPr>
                <w:b/>
                <w:sz w:val="20"/>
                <w:szCs w:val="20"/>
              </w:rPr>
              <w:lastRenderedPageBreak/>
              <w:t>Daten+Fakten</w:t>
            </w:r>
            <w:proofErr w:type="spellEnd"/>
          </w:p>
          <w:p w14:paraId="1E108B41" w14:textId="77777777" w:rsidR="00F77544" w:rsidRDefault="00774C35">
            <w:pPr>
              <w:spacing w:after="240"/>
              <w:rPr>
                <w:sz w:val="20"/>
                <w:szCs w:val="20"/>
              </w:rPr>
            </w:pPr>
            <w:r>
              <w:rPr>
                <w:sz w:val="20"/>
                <w:szCs w:val="20"/>
              </w:rPr>
              <w:t xml:space="preserve">Bauherr: </w:t>
            </w:r>
            <w:proofErr w:type="spellStart"/>
            <w:r>
              <w:rPr>
                <w:sz w:val="20"/>
                <w:szCs w:val="20"/>
              </w:rPr>
              <w:t>Tragraum</w:t>
            </w:r>
            <w:proofErr w:type="spellEnd"/>
            <w:r>
              <w:rPr>
                <w:sz w:val="20"/>
                <w:szCs w:val="20"/>
              </w:rPr>
              <w:t xml:space="preserve"> Ingenieure, Bad Kissingen</w:t>
            </w:r>
            <w:r>
              <w:rPr>
                <w:sz w:val="20"/>
                <w:szCs w:val="20"/>
              </w:rPr>
              <w:br/>
              <w:t>Architektur Bestand: Hans-Busso von Busse, München </w:t>
            </w:r>
            <w:r>
              <w:rPr>
                <w:sz w:val="20"/>
                <w:szCs w:val="20"/>
              </w:rPr>
              <w:br/>
              <w:t>Architektur Sanierung | Umbau: Schlicht Lamprecht Kern Architekten, Schweinfurt</w:t>
            </w:r>
            <w:r>
              <w:rPr>
                <w:sz w:val="20"/>
                <w:szCs w:val="20"/>
              </w:rPr>
              <w:br/>
              <w:t xml:space="preserve">Tragwerksplanung: </w:t>
            </w:r>
            <w:proofErr w:type="spellStart"/>
            <w:r>
              <w:rPr>
                <w:sz w:val="20"/>
                <w:szCs w:val="20"/>
              </w:rPr>
              <w:t>Tragraum</w:t>
            </w:r>
            <w:proofErr w:type="spellEnd"/>
            <w:r>
              <w:rPr>
                <w:sz w:val="20"/>
                <w:szCs w:val="20"/>
              </w:rPr>
              <w:t xml:space="preserve"> Ingenieure, Bad Kissingen</w:t>
            </w:r>
            <w:r>
              <w:rPr>
                <w:sz w:val="20"/>
                <w:szCs w:val="20"/>
              </w:rPr>
              <w:br/>
              <w:t>Verarbeiter: Gerd Lippold Maßschreinerei, Nürnberg</w:t>
            </w:r>
            <w:r>
              <w:rPr>
                <w:sz w:val="20"/>
                <w:szCs w:val="20"/>
              </w:rPr>
              <w:br/>
              <w:t>Größe: 646 m²</w:t>
            </w:r>
            <w:r>
              <w:rPr>
                <w:sz w:val="20"/>
                <w:szCs w:val="20"/>
              </w:rPr>
              <w:br/>
              <w:t>Fertigstellung: 1969 und 2023</w:t>
            </w:r>
          </w:p>
          <w:p w14:paraId="01907EA9" w14:textId="6B9A6B3A" w:rsidR="006F35C7" w:rsidRDefault="00774C35">
            <w:pPr>
              <w:spacing w:after="240"/>
              <w:rPr>
                <w:sz w:val="20"/>
                <w:szCs w:val="20"/>
              </w:rPr>
            </w:pPr>
            <w:r>
              <w:rPr>
                <w:b/>
                <w:sz w:val="20"/>
                <w:szCs w:val="20"/>
              </w:rPr>
              <w:t>Produkte von Häfele</w:t>
            </w:r>
          </w:p>
          <w:p w14:paraId="1F57BEC9" w14:textId="77777777" w:rsidR="006F35C7" w:rsidRDefault="00774C35" w:rsidP="002B366D">
            <w:pPr>
              <w:rPr>
                <w:sz w:val="20"/>
                <w:szCs w:val="20"/>
              </w:rPr>
            </w:pPr>
            <w:r>
              <w:rPr>
                <w:sz w:val="20"/>
                <w:szCs w:val="20"/>
              </w:rPr>
              <w:t xml:space="preserve">Häfele </w:t>
            </w:r>
            <w:proofErr w:type="spellStart"/>
            <w:r>
              <w:rPr>
                <w:sz w:val="20"/>
                <w:szCs w:val="20"/>
              </w:rPr>
              <w:t>Lighting</w:t>
            </w:r>
            <w:proofErr w:type="spellEnd"/>
            <w:r>
              <w:rPr>
                <w:sz w:val="20"/>
                <w:szCs w:val="20"/>
              </w:rPr>
              <w:t>:</w:t>
            </w:r>
          </w:p>
          <w:p w14:paraId="3ACA551F" w14:textId="77777777" w:rsidR="002B366D" w:rsidRDefault="00774C35" w:rsidP="002B366D">
            <w:pPr>
              <w:rPr>
                <w:sz w:val="20"/>
                <w:szCs w:val="20"/>
              </w:rPr>
            </w:pPr>
            <w:r>
              <w:rPr>
                <w:sz w:val="20"/>
                <w:szCs w:val="20"/>
              </w:rPr>
              <w:t xml:space="preserve">Linearlinse Einbauprofile inkl. LED-Bänder </w:t>
            </w:r>
            <w:proofErr w:type="spellStart"/>
            <w:r>
              <w:rPr>
                <w:sz w:val="20"/>
                <w:szCs w:val="20"/>
              </w:rPr>
              <w:t>Loox</w:t>
            </w:r>
            <w:proofErr w:type="spellEnd"/>
            <w:r>
              <w:rPr>
                <w:sz w:val="20"/>
                <w:szCs w:val="20"/>
              </w:rPr>
              <w:br/>
            </w:r>
          </w:p>
          <w:p w14:paraId="0DE91CBD" w14:textId="7A341303" w:rsidR="002B366D" w:rsidRDefault="00774C35" w:rsidP="002B366D">
            <w:pPr>
              <w:rPr>
                <w:sz w:val="20"/>
                <w:szCs w:val="20"/>
              </w:rPr>
            </w:pPr>
            <w:r>
              <w:rPr>
                <w:sz w:val="20"/>
                <w:szCs w:val="20"/>
              </w:rPr>
              <w:t xml:space="preserve">Möbelbeschläge: </w:t>
            </w:r>
          </w:p>
          <w:p w14:paraId="043EF101" w14:textId="6A02F11F" w:rsidR="006F35C7" w:rsidRDefault="00774C35" w:rsidP="002B366D">
            <w:pPr>
              <w:rPr>
                <w:sz w:val="20"/>
                <w:szCs w:val="20"/>
              </w:rPr>
            </w:pPr>
            <w:r>
              <w:rPr>
                <w:sz w:val="20"/>
                <w:szCs w:val="20"/>
              </w:rPr>
              <w:t xml:space="preserve">Elektrisch höhenverstellbare Tischgestelle </w:t>
            </w:r>
            <w:proofErr w:type="spellStart"/>
            <w:r>
              <w:rPr>
                <w:sz w:val="20"/>
                <w:szCs w:val="20"/>
              </w:rPr>
              <w:t>Officys</w:t>
            </w:r>
            <w:proofErr w:type="spellEnd"/>
            <w:r>
              <w:rPr>
                <w:sz w:val="20"/>
                <w:szCs w:val="20"/>
              </w:rPr>
              <w:t xml:space="preserve"> TE 301</w:t>
            </w:r>
            <w:r>
              <w:rPr>
                <w:sz w:val="20"/>
                <w:szCs w:val="20"/>
              </w:rPr>
              <w:br/>
              <w:t xml:space="preserve">Faltschiebetürbeschlag Hawa </w:t>
            </w:r>
            <w:proofErr w:type="spellStart"/>
            <w:r>
              <w:rPr>
                <w:sz w:val="20"/>
                <w:szCs w:val="20"/>
              </w:rPr>
              <w:t>Multifold</w:t>
            </w:r>
            <w:proofErr w:type="spellEnd"/>
            <w:r>
              <w:rPr>
                <w:sz w:val="20"/>
                <w:szCs w:val="20"/>
              </w:rPr>
              <w:t xml:space="preserve"> 30</w:t>
            </w:r>
            <w:r>
              <w:rPr>
                <w:sz w:val="20"/>
                <w:szCs w:val="20"/>
              </w:rPr>
              <w:br/>
              <w:t xml:space="preserve">Zargen Blum </w:t>
            </w:r>
            <w:proofErr w:type="spellStart"/>
            <w:r>
              <w:rPr>
                <w:sz w:val="20"/>
                <w:szCs w:val="20"/>
              </w:rPr>
              <w:t>Legrabox</w:t>
            </w:r>
            <w:proofErr w:type="spellEnd"/>
            <w:r>
              <w:rPr>
                <w:sz w:val="20"/>
                <w:szCs w:val="20"/>
              </w:rPr>
              <w:br/>
              <w:t>Topfbänder Blum</w:t>
            </w:r>
          </w:p>
          <w:p w14:paraId="48A205B8" w14:textId="77777777" w:rsidR="002B366D" w:rsidRDefault="002B366D" w:rsidP="002B366D">
            <w:pPr>
              <w:rPr>
                <w:sz w:val="20"/>
                <w:szCs w:val="20"/>
              </w:rPr>
            </w:pPr>
          </w:p>
          <w:p w14:paraId="7DB05304" w14:textId="5385A1EE" w:rsidR="006F35C7" w:rsidRDefault="00774C35" w:rsidP="002B366D">
            <w:pPr>
              <w:rPr>
                <w:sz w:val="20"/>
                <w:szCs w:val="20"/>
              </w:rPr>
            </w:pPr>
            <w:r>
              <w:rPr>
                <w:sz w:val="20"/>
                <w:szCs w:val="20"/>
              </w:rPr>
              <w:t>Baubeschläge:</w:t>
            </w:r>
          </w:p>
          <w:p w14:paraId="706DC9FB" w14:textId="77777777" w:rsidR="006F35C7" w:rsidRDefault="00774C35" w:rsidP="002B366D">
            <w:pPr>
              <w:rPr>
                <w:sz w:val="20"/>
                <w:szCs w:val="20"/>
              </w:rPr>
            </w:pPr>
            <w:r>
              <w:rPr>
                <w:sz w:val="20"/>
                <w:szCs w:val="20"/>
              </w:rPr>
              <w:t xml:space="preserve">Mobile Glastrennwand </w:t>
            </w:r>
            <w:proofErr w:type="spellStart"/>
            <w:r>
              <w:rPr>
                <w:sz w:val="20"/>
                <w:szCs w:val="20"/>
              </w:rPr>
              <w:t>Slido</w:t>
            </w:r>
            <w:proofErr w:type="spellEnd"/>
            <w:r>
              <w:rPr>
                <w:sz w:val="20"/>
                <w:szCs w:val="20"/>
              </w:rPr>
              <w:t xml:space="preserve"> W-Park31 150R mit ESG 12 mm Verglasung</w:t>
            </w:r>
          </w:p>
        </w:tc>
        <w:tc>
          <w:tcPr>
            <w:tcW w:w="1500" w:type="pct"/>
            <w:tcBorders>
              <w:top w:val="nil"/>
              <w:left w:val="nil"/>
              <w:bottom w:val="nil"/>
              <w:right w:val="nil"/>
            </w:tcBorders>
            <w:shd w:val="clear" w:color="auto" w:fill="auto"/>
            <w:tcMar>
              <w:top w:w="0" w:type="dxa"/>
              <w:left w:w="0" w:type="dxa"/>
              <w:bottom w:w="0" w:type="dxa"/>
              <w:right w:w="227" w:type="dxa"/>
            </w:tcMar>
          </w:tcPr>
          <w:p w14:paraId="3EEA9EA4" w14:textId="77777777" w:rsidR="006F35C7" w:rsidRDefault="00774C35">
            <w:pPr>
              <w:spacing w:after="240"/>
              <w:rPr>
                <w:sz w:val="20"/>
                <w:szCs w:val="20"/>
              </w:rPr>
            </w:pPr>
            <w:r>
              <w:rPr>
                <w:b/>
                <w:sz w:val="20"/>
                <w:szCs w:val="20"/>
              </w:rPr>
              <w:lastRenderedPageBreak/>
              <w:t>Ansprechpartner für Journalisten:</w:t>
            </w:r>
            <w:r>
              <w:rPr>
                <w:b/>
                <w:sz w:val="20"/>
                <w:szCs w:val="20"/>
              </w:rPr>
              <w:br/>
            </w:r>
            <w:r>
              <w:rPr>
                <w:sz w:val="20"/>
                <w:szCs w:val="20"/>
              </w:rPr>
              <w:t>Rainer Häupl</w:t>
            </w:r>
            <w:r>
              <w:rPr>
                <w:sz w:val="20"/>
                <w:szCs w:val="20"/>
              </w:rPr>
              <w:br/>
              <w:t>bering*kopal GbR, Büro für Kommunikation</w:t>
            </w:r>
            <w:r>
              <w:rPr>
                <w:sz w:val="20"/>
                <w:szCs w:val="20"/>
              </w:rPr>
              <w:br/>
              <w:t>T + 49 (0) 711 74 51 759-16</w:t>
            </w:r>
            <w:r>
              <w:rPr>
                <w:sz w:val="20"/>
                <w:szCs w:val="20"/>
              </w:rPr>
              <w:br/>
              <w:t>rainer.haeupl@bering-kopal.de</w:t>
            </w:r>
            <w:r>
              <w:rPr>
                <w:sz w:val="20"/>
                <w:szCs w:val="20"/>
              </w:rPr>
              <w:br/>
              <w:t>www.bering-kopal.de</w:t>
            </w:r>
          </w:p>
          <w:p w14:paraId="49D4C82D" w14:textId="77777777" w:rsidR="006F35C7" w:rsidRDefault="00774C35">
            <w:pPr>
              <w:spacing w:after="240"/>
              <w:rPr>
                <w:sz w:val="20"/>
                <w:szCs w:val="20"/>
              </w:rPr>
            </w:pPr>
            <w:r>
              <w:rPr>
                <w:b/>
                <w:sz w:val="20"/>
                <w:szCs w:val="20"/>
              </w:rPr>
              <w:t>Ansprechpartnerin im Unternehmen:</w:t>
            </w:r>
            <w:r>
              <w:rPr>
                <w:b/>
                <w:sz w:val="20"/>
                <w:szCs w:val="20"/>
              </w:rPr>
              <w:br/>
            </w:r>
            <w:r>
              <w:rPr>
                <w:sz w:val="20"/>
                <w:szCs w:val="20"/>
              </w:rPr>
              <w:t>Sarah Grünler</w:t>
            </w:r>
            <w:r>
              <w:rPr>
                <w:sz w:val="20"/>
                <w:szCs w:val="20"/>
              </w:rPr>
              <w:br/>
              <w:t>Senior Corporate Communications Manager</w:t>
            </w:r>
            <w:r>
              <w:rPr>
                <w:sz w:val="20"/>
                <w:szCs w:val="20"/>
              </w:rPr>
              <w:br/>
              <w:t>Häfele SE &amp; Co KG</w:t>
            </w:r>
            <w:r>
              <w:rPr>
                <w:sz w:val="20"/>
                <w:szCs w:val="20"/>
              </w:rPr>
              <w:br/>
              <w:t>Tel.: +49 (0)7452 95-510</w:t>
            </w:r>
            <w:r>
              <w:rPr>
                <w:sz w:val="20"/>
                <w:szCs w:val="20"/>
              </w:rPr>
              <w:br/>
              <w:t>Mobil: +49 160 97871786</w:t>
            </w:r>
            <w:r>
              <w:rPr>
                <w:sz w:val="20"/>
                <w:szCs w:val="20"/>
              </w:rPr>
              <w:br/>
              <w:t>sarah.gruenler@haefele.de</w:t>
            </w:r>
          </w:p>
          <w:p w14:paraId="031054F2" w14:textId="77777777" w:rsidR="006F35C7" w:rsidRDefault="00774C35">
            <w:pPr>
              <w:spacing w:after="240"/>
              <w:rPr>
                <w:sz w:val="20"/>
                <w:szCs w:val="20"/>
              </w:rPr>
            </w:pPr>
            <w:r>
              <w:rPr>
                <w:sz w:val="20"/>
                <w:szCs w:val="20"/>
              </w:rPr>
              <w:t> </w:t>
            </w:r>
          </w:p>
          <w:p w14:paraId="24977F4A" w14:textId="77777777" w:rsidR="006F35C7" w:rsidRDefault="00774C35">
            <w:pPr>
              <w:rPr>
                <w:sz w:val="20"/>
                <w:szCs w:val="20"/>
              </w:rPr>
            </w:pPr>
            <w:r>
              <w:rPr>
                <w:sz w:val="20"/>
                <w:szCs w:val="20"/>
              </w:rPr>
              <w:t> </w:t>
            </w:r>
          </w:p>
        </w:tc>
      </w:tr>
      <w:tr w:rsidR="006F35C7" w14:paraId="084202F7"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0C6DBB5" w14:textId="77777777" w:rsidR="006F35C7" w:rsidRDefault="006F35C7">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77E78764" w14:textId="77777777" w:rsidR="006F35C7" w:rsidRDefault="006F35C7">
            <w:pPr>
              <w:rPr>
                <w:sz w:val="20"/>
                <w:szCs w:val="20"/>
              </w:rPr>
            </w:pPr>
          </w:p>
        </w:tc>
      </w:tr>
    </w:tbl>
    <w:p w14:paraId="6778661D" w14:textId="77777777" w:rsidR="006F35C7" w:rsidRDefault="00774C35">
      <w:r>
        <w:br w:type="page"/>
      </w:r>
    </w:p>
    <w:p w14:paraId="10F26312" w14:textId="77777777" w:rsidR="006F35C7" w:rsidRDefault="00774C35">
      <w:pPr>
        <w:spacing w:line="240" w:lineRule="auto"/>
        <w:rPr>
          <w:sz w:val="17"/>
          <w:szCs w:val="17"/>
        </w:rPr>
      </w:pPr>
      <w:r>
        <w:rPr>
          <w:b/>
          <w:sz w:val="17"/>
          <w:szCs w:val="17"/>
        </w:rPr>
        <w:lastRenderedPageBreak/>
        <w:t>1</w:t>
      </w:r>
      <w:r>
        <w:rPr>
          <w:sz w:val="17"/>
          <w:szCs w:val="17"/>
        </w:rPr>
        <w:t xml:space="preserve"> Die Umnutzung von Kirchen und Gemeindezentren erfordert viel Feingefühl, um die wertvolle, denkmalgeschützte Architektur zu bewahren und gleichzeitig eine neue Nutzung zu ermöglichen. Ein herausragendes Beispiel dafür ist das evangelische Gemeindehaus in Bad Kissingen aus den 1960er Jahren. Foto: Stefan Meyer</w:t>
      </w:r>
      <w:r>
        <w:rPr>
          <w:sz w:val="17"/>
          <w:szCs w:val="17"/>
        </w:rPr>
        <w:br/>
      </w:r>
    </w:p>
    <w:p w14:paraId="3DCF58AB" w14:textId="77777777" w:rsidR="006F35C7" w:rsidRDefault="00774C35">
      <w:pPr>
        <w:spacing w:line="240" w:lineRule="auto"/>
        <w:rPr>
          <w:sz w:val="17"/>
          <w:szCs w:val="17"/>
        </w:rPr>
      </w:pPr>
      <w:r>
        <w:rPr>
          <w:b/>
          <w:sz w:val="17"/>
          <w:szCs w:val="17"/>
        </w:rPr>
        <w:t>2</w:t>
      </w:r>
      <w:r>
        <w:rPr>
          <w:sz w:val="17"/>
          <w:szCs w:val="17"/>
        </w:rPr>
        <w:t xml:space="preserve"> Dank sensibler Planung durch Schlicht Lamprecht Kern Architekten aus Schweinfurt konnte das Gebäude mit minimalem Aufwand einer neuen Bestimmung als </w:t>
      </w:r>
      <w:proofErr w:type="spellStart"/>
      <w:r>
        <w:rPr>
          <w:sz w:val="17"/>
          <w:szCs w:val="17"/>
        </w:rPr>
        <w:t>Büroloft</w:t>
      </w:r>
      <w:proofErr w:type="spellEnd"/>
      <w:r>
        <w:rPr>
          <w:sz w:val="17"/>
          <w:szCs w:val="17"/>
        </w:rPr>
        <w:t xml:space="preserve"> zugeführt werden, wodurch sein Lebenszyklus erheblich verlängert wurde. Foto: Stefan Meyer</w:t>
      </w:r>
      <w:r>
        <w:rPr>
          <w:sz w:val="17"/>
          <w:szCs w:val="17"/>
        </w:rPr>
        <w:br/>
      </w:r>
    </w:p>
    <w:p w14:paraId="56897BA0" w14:textId="77777777" w:rsidR="006F35C7" w:rsidRDefault="00774C35">
      <w:pPr>
        <w:spacing w:line="240" w:lineRule="auto"/>
        <w:rPr>
          <w:sz w:val="17"/>
          <w:szCs w:val="17"/>
        </w:rPr>
      </w:pPr>
      <w:r>
        <w:rPr>
          <w:b/>
          <w:sz w:val="17"/>
          <w:szCs w:val="17"/>
        </w:rPr>
        <w:t>3</w:t>
      </w:r>
      <w:r>
        <w:rPr>
          <w:sz w:val="17"/>
          <w:szCs w:val="17"/>
        </w:rPr>
        <w:t xml:space="preserve"> Im geschlossenen Zustand wirkt die neue Küchenfront hinter der Bar fast schon unscheinbar, weil sie sich geschickt über Materialien und Farben in den Bestand integriert. Foto: Stefan Meyer</w:t>
      </w:r>
      <w:r>
        <w:rPr>
          <w:sz w:val="17"/>
          <w:szCs w:val="17"/>
        </w:rPr>
        <w:br/>
      </w:r>
    </w:p>
    <w:p w14:paraId="73588B5A" w14:textId="77777777" w:rsidR="006F35C7" w:rsidRDefault="00774C35">
      <w:pPr>
        <w:spacing w:line="240" w:lineRule="auto"/>
        <w:rPr>
          <w:sz w:val="17"/>
          <w:szCs w:val="17"/>
        </w:rPr>
      </w:pPr>
      <w:r>
        <w:rPr>
          <w:b/>
          <w:sz w:val="17"/>
          <w:szCs w:val="17"/>
        </w:rPr>
        <w:t>4</w:t>
      </w:r>
      <w:r>
        <w:rPr>
          <w:sz w:val="17"/>
          <w:szCs w:val="17"/>
        </w:rPr>
        <w:t xml:space="preserve"> Als neues Element klar erkennbar gliedert die weiße Rezeption den Eingangsbereich und gibt Orientierung. Im Hintergrund rechts schirmt die geschlossenen Trennwandanlage den direkt zugänglichen Besprechungsraum vom angrenzenden Großraumbüro ab. Foto: Stefan Meyer</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F35C7" w14:paraId="2D93A876" w14:textId="77777777">
        <w:tc>
          <w:tcPr>
            <w:tcW w:w="2444" w:type="pct"/>
            <w:tcBorders>
              <w:top w:val="nil"/>
              <w:left w:val="nil"/>
              <w:bottom w:val="nil"/>
              <w:right w:val="nil"/>
            </w:tcBorders>
            <w:shd w:val="clear" w:color="auto" w:fill="auto"/>
            <w:tcMar>
              <w:top w:w="0" w:type="dxa"/>
              <w:left w:w="0" w:type="dxa"/>
              <w:bottom w:w="0" w:type="dxa"/>
              <w:right w:w="0" w:type="dxa"/>
            </w:tcMar>
          </w:tcPr>
          <w:p w14:paraId="26E700EB" w14:textId="77777777" w:rsidR="006F35C7" w:rsidRDefault="00774C35">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071B0FB7" w14:textId="77777777" w:rsidR="006F35C7" w:rsidRDefault="006F35C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343698E0" w14:textId="77777777" w:rsidR="006F35C7" w:rsidRDefault="00774C35">
            <w:pPr>
              <w:keepNext/>
              <w:keepLines/>
              <w:spacing w:line="240" w:lineRule="auto"/>
              <w:rPr>
                <w:sz w:val="14"/>
                <w:szCs w:val="14"/>
              </w:rPr>
            </w:pPr>
            <w:r>
              <w:rPr>
                <w:sz w:val="14"/>
                <w:szCs w:val="14"/>
              </w:rPr>
              <w:t>2.</w:t>
            </w:r>
          </w:p>
        </w:tc>
      </w:tr>
      <w:tr w:rsidR="006F35C7" w14:paraId="36E2936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4B27D9A" w14:textId="77777777" w:rsidR="006F35C7" w:rsidRDefault="00774C35">
            <w:pPr>
              <w:keepNext/>
              <w:keepLines/>
              <w:spacing w:line="240" w:lineRule="auto"/>
              <w:rPr>
                <w:sz w:val="14"/>
                <w:szCs w:val="14"/>
              </w:rPr>
            </w:pPr>
            <w:r>
              <w:rPr>
                <w:noProof/>
                <w:sz w:val="14"/>
                <w:szCs w:val="14"/>
              </w:rPr>
              <w:drawing>
                <wp:inline distT="0" distB="0" distL="0" distR="0" wp14:anchorId="519491E2" wp14:editId="5DA88DFF">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E894268" w14:textId="77777777" w:rsidR="006F35C7" w:rsidRDefault="006F35C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12C551DF" w14:textId="77777777" w:rsidR="006F35C7" w:rsidRDefault="00774C35">
            <w:pPr>
              <w:keepNext/>
              <w:keepLines/>
              <w:spacing w:line="240" w:lineRule="auto"/>
              <w:rPr>
                <w:sz w:val="14"/>
                <w:szCs w:val="14"/>
              </w:rPr>
            </w:pPr>
            <w:r>
              <w:rPr>
                <w:noProof/>
                <w:sz w:val="14"/>
                <w:szCs w:val="14"/>
              </w:rPr>
              <w:drawing>
                <wp:inline distT="0" distB="0" distL="0" distR="0" wp14:anchorId="54C73194" wp14:editId="0685FF87">
                  <wp:extent cx="302323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r>
      <w:tr w:rsidR="006F35C7" w14:paraId="3A20A7DD" w14:textId="77777777">
        <w:tc>
          <w:tcPr>
            <w:tcW w:w="2444" w:type="pct"/>
            <w:tcBorders>
              <w:top w:val="nil"/>
              <w:left w:val="nil"/>
              <w:bottom w:val="nil"/>
              <w:right w:val="nil"/>
            </w:tcBorders>
            <w:shd w:val="clear" w:color="auto" w:fill="auto"/>
            <w:tcMar>
              <w:top w:w="0" w:type="dxa"/>
              <w:left w:w="0" w:type="dxa"/>
              <w:bottom w:w="0" w:type="dxa"/>
              <w:right w:w="0" w:type="dxa"/>
            </w:tcMar>
          </w:tcPr>
          <w:p w14:paraId="2D3EBE60" w14:textId="77777777" w:rsidR="006F35C7" w:rsidRDefault="006F35C7">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5B1A336D" w14:textId="77777777" w:rsidR="006F35C7" w:rsidRDefault="006F35C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733D28A" w14:textId="77777777" w:rsidR="006F35C7" w:rsidRDefault="006F35C7">
            <w:pPr>
              <w:keepNext/>
              <w:keepLines/>
              <w:spacing w:line="240" w:lineRule="auto"/>
              <w:rPr>
                <w:sz w:val="14"/>
                <w:szCs w:val="14"/>
              </w:rPr>
            </w:pPr>
          </w:p>
        </w:tc>
      </w:tr>
      <w:tr w:rsidR="006F35C7" w14:paraId="50221C9B" w14:textId="77777777">
        <w:tc>
          <w:tcPr>
            <w:tcW w:w="2444" w:type="pct"/>
            <w:tcBorders>
              <w:top w:val="nil"/>
              <w:left w:val="nil"/>
              <w:bottom w:val="nil"/>
              <w:right w:val="nil"/>
            </w:tcBorders>
            <w:shd w:val="clear" w:color="auto" w:fill="auto"/>
            <w:tcMar>
              <w:top w:w="0" w:type="dxa"/>
              <w:left w:w="0" w:type="dxa"/>
              <w:bottom w:w="0" w:type="dxa"/>
              <w:right w:w="0" w:type="dxa"/>
            </w:tcMar>
          </w:tcPr>
          <w:p w14:paraId="11D497D0" w14:textId="77777777" w:rsidR="006F35C7" w:rsidRDefault="00774C35">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23D0C7D4" w14:textId="77777777" w:rsidR="006F35C7" w:rsidRDefault="006F35C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B8ECB83" w14:textId="77777777" w:rsidR="006F35C7" w:rsidRDefault="00774C35">
            <w:pPr>
              <w:keepNext/>
              <w:keepLines/>
              <w:spacing w:line="240" w:lineRule="auto"/>
              <w:rPr>
                <w:sz w:val="14"/>
                <w:szCs w:val="14"/>
              </w:rPr>
            </w:pPr>
            <w:r>
              <w:rPr>
                <w:sz w:val="14"/>
                <w:szCs w:val="14"/>
              </w:rPr>
              <w:t>4.</w:t>
            </w:r>
          </w:p>
        </w:tc>
      </w:tr>
      <w:tr w:rsidR="006F35C7" w14:paraId="58796FA4"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47B0531B" w14:textId="77777777" w:rsidR="006F35C7" w:rsidRDefault="00774C35">
            <w:pPr>
              <w:keepNext/>
              <w:keepLines/>
              <w:spacing w:line="240" w:lineRule="auto"/>
              <w:rPr>
                <w:sz w:val="14"/>
                <w:szCs w:val="14"/>
              </w:rPr>
            </w:pPr>
            <w:r>
              <w:rPr>
                <w:noProof/>
                <w:sz w:val="14"/>
                <w:szCs w:val="14"/>
              </w:rPr>
              <w:drawing>
                <wp:inline distT="0" distB="0" distL="0" distR="0" wp14:anchorId="57F8B5CD" wp14:editId="50707D5B">
                  <wp:extent cx="302323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27102C2" w14:textId="77777777" w:rsidR="006F35C7" w:rsidRDefault="006F35C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4839F0C" w14:textId="77777777" w:rsidR="006F35C7" w:rsidRDefault="00774C35">
            <w:pPr>
              <w:keepNext/>
              <w:keepLines/>
              <w:spacing w:line="240" w:lineRule="auto"/>
              <w:rPr>
                <w:sz w:val="14"/>
                <w:szCs w:val="14"/>
              </w:rPr>
            </w:pPr>
            <w:r>
              <w:rPr>
                <w:noProof/>
                <w:sz w:val="14"/>
                <w:szCs w:val="14"/>
              </w:rPr>
              <w:drawing>
                <wp:inline distT="0" distB="0" distL="0" distR="0" wp14:anchorId="2B7D4160" wp14:editId="126BE658">
                  <wp:extent cx="302323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r>
    </w:tbl>
    <w:p w14:paraId="45BCD014" w14:textId="77777777" w:rsidR="006F35C7" w:rsidRDefault="00774C35">
      <w:pPr>
        <w:spacing w:line="240" w:lineRule="auto"/>
      </w:pPr>
      <w:r>
        <w:br w:type="page"/>
      </w:r>
    </w:p>
    <w:p w14:paraId="77875F83" w14:textId="77777777" w:rsidR="006F35C7" w:rsidRDefault="00774C35">
      <w:pPr>
        <w:spacing w:line="240" w:lineRule="auto"/>
        <w:rPr>
          <w:sz w:val="17"/>
          <w:szCs w:val="17"/>
        </w:rPr>
      </w:pPr>
      <w:r>
        <w:rPr>
          <w:b/>
          <w:sz w:val="17"/>
          <w:szCs w:val="17"/>
        </w:rPr>
        <w:lastRenderedPageBreak/>
        <w:t>5</w:t>
      </w:r>
      <w:r>
        <w:rPr>
          <w:sz w:val="17"/>
          <w:szCs w:val="17"/>
        </w:rPr>
        <w:t xml:space="preserve"> Ohne an Großzügigkeit zu verlieren kann ein Teil des Großraums mit mobilen Glastrennwänden für Besprechungen abgetrennt werden. Schall- und Sichtschutz werden über einen Vorhang flexibel hinzugefügt. Foto: Stefan Meyer</w:t>
      </w:r>
      <w:r>
        <w:rPr>
          <w:sz w:val="17"/>
          <w:szCs w:val="17"/>
        </w:rPr>
        <w:br/>
      </w:r>
    </w:p>
    <w:p w14:paraId="1F681309" w14:textId="77777777" w:rsidR="006F35C7" w:rsidRDefault="00774C35">
      <w:pPr>
        <w:spacing w:line="240" w:lineRule="auto"/>
        <w:rPr>
          <w:sz w:val="17"/>
          <w:szCs w:val="17"/>
        </w:rPr>
      </w:pPr>
      <w:r>
        <w:rPr>
          <w:b/>
          <w:sz w:val="17"/>
          <w:szCs w:val="17"/>
        </w:rPr>
        <w:t>6</w:t>
      </w:r>
      <w:r>
        <w:rPr>
          <w:sz w:val="17"/>
          <w:szCs w:val="17"/>
        </w:rPr>
        <w:t xml:space="preserve"> Im geschlossenen Zustand erscheint ein Teil der Küchenzeile als schlichter Wandschrank; geöffnet offenbart dieser Bereich Spülbecken, Arbeitsfläche, Regale und Schubladen. Die historischen Schranktüren und Teilungsbretter aus Carolina Pine Wood, baute die Schreinerei zu Falttüren mit neuer Einteilung um. Foto: Stefan Meyer</w:t>
      </w:r>
      <w:r>
        <w:rPr>
          <w:sz w:val="17"/>
          <w:szCs w:val="17"/>
        </w:rPr>
        <w:br/>
      </w:r>
    </w:p>
    <w:p w14:paraId="76AF1037" w14:textId="5C134B4D" w:rsidR="006F35C7" w:rsidRDefault="00774C35">
      <w:pPr>
        <w:spacing w:line="240" w:lineRule="auto"/>
        <w:rPr>
          <w:sz w:val="17"/>
          <w:szCs w:val="17"/>
        </w:rPr>
      </w:pPr>
      <w:r>
        <w:rPr>
          <w:b/>
          <w:sz w:val="17"/>
          <w:szCs w:val="17"/>
        </w:rPr>
        <w:t>7</w:t>
      </w:r>
      <w:r>
        <w:rPr>
          <w:sz w:val="17"/>
          <w:szCs w:val="17"/>
        </w:rPr>
        <w:t xml:space="preserve"> Die offene Gestaltung des Erdgeschosses bietet vielseitige Nutzungsmöglichkeiten, sowohl für die aktuellen Anforderungen des Ingenieurbüros als auch für zukünftige Nutzungen. Durch minimale Eingriffe blieb die Flexibilität des Innenraums erhalten, sodass es jederzeit möglich ist, die Räume erneut anders zu belegen.</w:t>
      </w:r>
      <w:r w:rsidR="004E7C68">
        <w:rPr>
          <w:sz w:val="17"/>
          <w:szCs w:val="17"/>
        </w:rPr>
        <w:t xml:space="preserve"> </w:t>
      </w:r>
      <w:r w:rsidR="004E7C68" w:rsidRPr="004E7C68">
        <w:rPr>
          <w:sz w:val="17"/>
          <w:szCs w:val="17"/>
        </w:rPr>
        <w:t>Das Bild zeigt den Innenraum vor der Sanierung.</w:t>
      </w:r>
      <w:r>
        <w:rPr>
          <w:sz w:val="17"/>
          <w:szCs w:val="17"/>
        </w:rPr>
        <w:t xml:space="preserve"> Foto: Stefan Meyer</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6F35C7" w14:paraId="5BE7AAC8" w14:textId="77777777">
        <w:tc>
          <w:tcPr>
            <w:tcW w:w="2444" w:type="pct"/>
            <w:tcBorders>
              <w:top w:val="nil"/>
              <w:left w:val="nil"/>
              <w:bottom w:val="nil"/>
              <w:right w:val="nil"/>
            </w:tcBorders>
            <w:shd w:val="clear" w:color="auto" w:fill="auto"/>
            <w:tcMar>
              <w:top w:w="0" w:type="dxa"/>
              <w:left w:w="0" w:type="dxa"/>
              <w:bottom w:w="0" w:type="dxa"/>
              <w:right w:w="0" w:type="dxa"/>
            </w:tcMar>
          </w:tcPr>
          <w:p w14:paraId="350E06EA" w14:textId="77777777" w:rsidR="006F35C7" w:rsidRDefault="00774C35">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14:paraId="762C1F70" w14:textId="77777777" w:rsidR="006F35C7" w:rsidRDefault="006F35C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15BF0320" w14:textId="77777777" w:rsidR="006F35C7" w:rsidRDefault="00774C35">
            <w:pPr>
              <w:keepNext/>
              <w:keepLines/>
              <w:spacing w:line="240" w:lineRule="auto"/>
              <w:rPr>
                <w:sz w:val="14"/>
                <w:szCs w:val="14"/>
              </w:rPr>
            </w:pPr>
            <w:r>
              <w:rPr>
                <w:sz w:val="14"/>
                <w:szCs w:val="14"/>
              </w:rPr>
              <w:t>6.</w:t>
            </w:r>
          </w:p>
        </w:tc>
      </w:tr>
      <w:tr w:rsidR="006F35C7" w14:paraId="3B7281C5"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18F916C" w14:textId="77777777" w:rsidR="006F35C7" w:rsidRDefault="00774C35">
            <w:pPr>
              <w:keepNext/>
              <w:keepLines/>
              <w:spacing w:line="240" w:lineRule="auto"/>
              <w:rPr>
                <w:sz w:val="14"/>
                <w:szCs w:val="14"/>
              </w:rPr>
            </w:pPr>
            <w:r>
              <w:rPr>
                <w:noProof/>
                <w:sz w:val="14"/>
                <w:szCs w:val="14"/>
              </w:rPr>
              <w:drawing>
                <wp:inline distT="0" distB="0" distL="0" distR="0" wp14:anchorId="1A5029EB" wp14:editId="1829B0AF">
                  <wp:extent cx="302323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BCAC31C" w14:textId="77777777" w:rsidR="006F35C7" w:rsidRDefault="006F35C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0CABF213" w14:textId="77777777" w:rsidR="006F35C7" w:rsidRDefault="00774C35">
            <w:pPr>
              <w:keepNext/>
              <w:keepLines/>
              <w:spacing w:line="240" w:lineRule="auto"/>
              <w:rPr>
                <w:sz w:val="14"/>
                <w:szCs w:val="14"/>
              </w:rPr>
            </w:pPr>
            <w:r>
              <w:rPr>
                <w:noProof/>
                <w:sz w:val="14"/>
                <w:szCs w:val="14"/>
              </w:rPr>
              <w:drawing>
                <wp:inline distT="0" distB="0" distL="0" distR="0" wp14:anchorId="05F1103C" wp14:editId="2B348045">
                  <wp:extent cx="134366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cstate="print">
                            <a:extLst>
                              <a:ext uri="{28A0092B-C50C-407E-A947-70E740481C1C}">
                                <a14:useLocalDpi xmlns:a14="http://schemas.microsoft.com/office/drawing/2010/main"/>
                              </a:ext>
                            </a:extLst>
                          </a:blip>
                          <a:srcRect/>
                          <a:stretch>
                            <a:fillRect/>
                          </a:stretch>
                        </pic:blipFill>
                        <pic:spPr>
                          <a:xfrm>
                            <a:off x="0" y="0"/>
                            <a:ext cx="1343660" cy="2014220"/>
                          </a:xfrm>
                          <a:prstGeom prst="rect">
                            <a:avLst/>
                          </a:prstGeom>
                        </pic:spPr>
                      </pic:pic>
                    </a:graphicData>
                  </a:graphic>
                </wp:inline>
              </w:drawing>
            </w:r>
          </w:p>
        </w:tc>
      </w:tr>
      <w:tr w:rsidR="006F35C7" w14:paraId="3A87DAFA" w14:textId="77777777">
        <w:tc>
          <w:tcPr>
            <w:tcW w:w="2444" w:type="pct"/>
            <w:tcBorders>
              <w:top w:val="nil"/>
              <w:left w:val="nil"/>
              <w:bottom w:val="nil"/>
              <w:right w:val="nil"/>
            </w:tcBorders>
            <w:shd w:val="clear" w:color="auto" w:fill="auto"/>
            <w:tcMar>
              <w:top w:w="0" w:type="dxa"/>
              <w:left w:w="0" w:type="dxa"/>
              <w:bottom w:w="0" w:type="dxa"/>
              <w:right w:w="0" w:type="dxa"/>
            </w:tcMar>
          </w:tcPr>
          <w:p w14:paraId="32E92541" w14:textId="77777777" w:rsidR="006F35C7" w:rsidRDefault="006F35C7">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3546FB6A" w14:textId="77777777" w:rsidR="006F35C7" w:rsidRDefault="006F35C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7F27F250" w14:textId="77777777" w:rsidR="006F35C7" w:rsidRDefault="006F35C7">
            <w:pPr>
              <w:keepNext/>
              <w:keepLines/>
              <w:spacing w:line="240" w:lineRule="auto"/>
              <w:rPr>
                <w:sz w:val="14"/>
                <w:szCs w:val="14"/>
              </w:rPr>
            </w:pPr>
          </w:p>
        </w:tc>
      </w:tr>
      <w:tr w:rsidR="006F35C7" w14:paraId="4616D0E7" w14:textId="77777777">
        <w:tc>
          <w:tcPr>
            <w:tcW w:w="2444" w:type="pct"/>
            <w:tcBorders>
              <w:top w:val="nil"/>
              <w:left w:val="nil"/>
              <w:bottom w:val="nil"/>
              <w:right w:val="nil"/>
            </w:tcBorders>
            <w:shd w:val="clear" w:color="auto" w:fill="auto"/>
            <w:tcMar>
              <w:top w:w="0" w:type="dxa"/>
              <w:left w:w="0" w:type="dxa"/>
              <w:bottom w:w="0" w:type="dxa"/>
              <w:right w:w="0" w:type="dxa"/>
            </w:tcMar>
          </w:tcPr>
          <w:p w14:paraId="08E882AA" w14:textId="77777777" w:rsidR="006F35C7" w:rsidRDefault="00774C35">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14:paraId="5AE95F11" w14:textId="77777777" w:rsidR="006F35C7" w:rsidRDefault="006F35C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5F0E891" w14:textId="77777777" w:rsidR="006F35C7" w:rsidRDefault="006F35C7">
            <w:pPr>
              <w:keepNext/>
              <w:keepLines/>
              <w:spacing w:line="240" w:lineRule="auto"/>
              <w:rPr>
                <w:sz w:val="14"/>
                <w:szCs w:val="14"/>
              </w:rPr>
            </w:pPr>
          </w:p>
        </w:tc>
      </w:tr>
      <w:tr w:rsidR="006F35C7" w14:paraId="3ADACC0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7458F9AB" w14:textId="77777777" w:rsidR="006F35C7" w:rsidRDefault="00774C35">
            <w:pPr>
              <w:keepNext/>
              <w:keepLines/>
              <w:spacing w:line="240" w:lineRule="auto"/>
              <w:rPr>
                <w:sz w:val="14"/>
                <w:szCs w:val="14"/>
              </w:rPr>
            </w:pPr>
            <w:r>
              <w:rPr>
                <w:noProof/>
                <w:sz w:val="14"/>
                <w:szCs w:val="14"/>
              </w:rPr>
              <w:drawing>
                <wp:inline distT="0" distB="0" distL="0" distR="0" wp14:anchorId="3AE1884C" wp14:editId="30AB003A">
                  <wp:extent cx="302323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cstate="print">
                            <a:extLst>
                              <a:ext uri="{28A0092B-C50C-407E-A947-70E740481C1C}">
                                <a14:useLocalDpi xmlns:a14="http://schemas.microsoft.com/office/drawing/2010/main"/>
                              </a:ext>
                            </a:extLst>
                          </a:blip>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146F0777" w14:textId="77777777" w:rsidR="006F35C7" w:rsidRDefault="006F35C7">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027E1AE7" w14:textId="77777777" w:rsidR="006F35C7" w:rsidRDefault="006F35C7">
            <w:pPr>
              <w:keepNext/>
              <w:keepLines/>
              <w:spacing w:line="240" w:lineRule="auto"/>
              <w:rPr>
                <w:sz w:val="17"/>
                <w:szCs w:val="17"/>
              </w:rPr>
            </w:pPr>
          </w:p>
        </w:tc>
      </w:tr>
    </w:tbl>
    <w:p w14:paraId="76D15C7D" w14:textId="77777777" w:rsidR="006F35C7" w:rsidRDefault="00774C35">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F35C7" w14:paraId="75F279D8"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58D6309A" w14:textId="77777777" w:rsidR="006F35C7" w:rsidRPr="00774C35" w:rsidRDefault="00774C35">
            <w:pPr>
              <w:spacing w:before="240" w:after="240"/>
              <w:rPr>
                <w:sz w:val="20"/>
                <w:szCs w:val="20"/>
                <w:lang w:val="en-GB"/>
              </w:rPr>
            </w:pPr>
            <w:proofErr w:type="spellStart"/>
            <w:r w:rsidRPr="00774C35">
              <w:rPr>
                <w:b/>
                <w:sz w:val="20"/>
                <w:szCs w:val="20"/>
                <w:lang w:val="en-GB"/>
              </w:rPr>
              <w:lastRenderedPageBreak/>
              <w:t>Über</w:t>
            </w:r>
            <w:proofErr w:type="spellEnd"/>
            <w:r w:rsidRPr="00774C35">
              <w:rPr>
                <w:b/>
                <w:sz w:val="20"/>
                <w:szCs w:val="20"/>
                <w:lang w:val="en-GB"/>
              </w:rPr>
              <w:t xml:space="preserve"> </w:t>
            </w:r>
            <w:proofErr w:type="spellStart"/>
            <w:r w:rsidRPr="00774C35">
              <w:rPr>
                <w:b/>
                <w:sz w:val="20"/>
                <w:szCs w:val="20"/>
                <w:lang w:val="en-GB"/>
              </w:rPr>
              <w:t>Häfele</w:t>
            </w:r>
            <w:proofErr w:type="spellEnd"/>
          </w:p>
          <w:p w14:paraId="2C137444" w14:textId="77777777" w:rsidR="006F35C7" w:rsidRDefault="00774C35">
            <w:pPr>
              <w:spacing w:before="240" w:after="240"/>
              <w:rPr>
                <w:sz w:val="20"/>
                <w:szCs w:val="20"/>
              </w:rPr>
            </w:pPr>
            <w:r w:rsidRPr="00774C35">
              <w:rPr>
                <w:b/>
                <w:sz w:val="20"/>
                <w:szCs w:val="20"/>
                <w:lang w:val="en-GB"/>
              </w:rPr>
              <w:t xml:space="preserve">Maximising the value of space. </w:t>
            </w:r>
            <w:proofErr w:type="spellStart"/>
            <w:r>
              <w:rPr>
                <w:b/>
                <w:sz w:val="20"/>
                <w:szCs w:val="20"/>
              </w:rPr>
              <w:t>Together</w:t>
            </w:r>
            <w:proofErr w:type="spellEnd"/>
            <w:r>
              <w:rPr>
                <w:b/>
                <w:sz w:val="20"/>
                <w:szCs w:val="20"/>
              </w:rPr>
              <w:t>.</w:t>
            </w:r>
          </w:p>
          <w:p w14:paraId="016012E6" w14:textId="77777777" w:rsidR="006F35C7" w:rsidRDefault="00774C35">
            <w:pPr>
              <w:spacing w:before="240" w:after="240"/>
              <w:rPr>
                <w:sz w:val="20"/>
                <w:szCs w:val="20"/>
              </w:rPr>
            </w:pPr>
            <w:r>
              <w:rPr>
                <w:sz w:val="20"/>
                <w:szCs w:val="20"/>
              </w:rPr>
              <w:t>Lebenswerte, nachhaltige Raumkonzepte für die Wohn- und Arbeitswelten von morgen zu entwickeln, diesem Ziel hat sich Häfele verschrieben. Gemeinsam mit seinen Partnern schafft Häfele ressourcenschonende, multifunktionale Lösungen bei höchstem Komfort.</w:t>
            </w:r>
          </w:p>
          <w:p w14:paraId="5DC1ABE3" w14:textId="77777777" w:rsidR="006F35C7" w:rsidRDefault="00774C35">
            <w:pPr>
              <w:spacing w:before="240" w:after="240"/>
              <w:rPr>
                <w:sz w:val="20"/>
                <w:szCs w:val="20"/>
              </w:rPr>
            </w:pPr>
            <w:r>
              <w:rPr>
                <w:sz w:val="20"/>
                <w:szCs w:val="20"/>
              </w:rPr>
              <w:t>Der 1923 gegründete, global agierende Spezialist für intelligente Beschlagtechnik, elektronische Schließsysteme sowie Beleuchtung und Vernetzung bietet seinen Kunden aus über 150 Ländern eine einzigartige 360°-Kompetenz. Mit einem umfassenden Produktsortiment, zahlreichen Serviceleistungen und viel Innovationsgeist steht das Familienunternehmen seinen Partnern aus Handwerk, Möbelindustrie, Handel und Architektur als verlässlicher Partner zur Seite - von der Ideenfindung über die Planung bis zur Umsetzung ihrer Projekte.</w:t>
            </w:r>
          </w:p>
          <w:p w14:paraId="69EC155B" w14:textId="77777777" w:rsidR="006F35C7" w:rsidRDefault="00774C35">
            <w:pPr>
              <w:spacing w:before="240" w:after="240"/>
              <w:rPr>
                <w:sz w:val="20"/>
                <w:szCs w:val="20"/>
              </w:rPr>
            </w:pPr>
            <w:r>
              <w:rPr>
                <w:sz w:val="20"/>
                <w:szCs w:val="20"/>
              </w:rPr>
              <w:t xml:space="preserve">Über 8.000 Mitarbeitende sowie 38 Tochterunternehmen und zahlreiche weitere Vertretungen in aller Welt bilden das Team des Global Players mit Hauptsitz in Nagold im Schwarzwald. Die Unternehmensgruppe wird seit Januar 2023 von Gregor </w:t>
            </w:r>
            <w:proofErr w:type="spellStart"/>
            <w:r>
              <w:rPr>
                <w:sz w:val="20"/>
                <w:szCs w:val="20"/>
              </w:rPr>
              <w:t>Riekena</w:t>
            </w:r>
            <w:proofErr w:type="spellEnd"/>
            <w:r>
              <w:rPr>
                <w:sz w:val="20"/>
                <w:szCs w:val="20"/>
              </w:rPr>
              <w:t xml:space="preserve"> geführt. Sibylle Thierer vertritt als Vorsitzende des Verwaltungsrats die Interessen der Gesellschafterfamilien. Im Geschäftsjahr 2023 erzielte die Häfele Gruppe einen Umsatz von 1,71 Mrd. Euro bei einem Exportanteil von 82%.</w:t>
            </w:r>
          </w:p>
          <w:p w14:paraId="20FC2CF6" w14:textId="77777777" w:rsidR="006F35C7" w:rsidRDefault="00774C35">
            <w:pPr>
              <w:spacing w:before="240" w:after="240"/>
              <w:rPr>
                <w:sz w:val="20"/>
                <w:szCs w:val="20"/>
              </w:rPr>
            </w:pPr>
            <w:r>
              <w:rPr>
                <w:sz w:val="20"/>
                <w:szCs w:val="20"/>
              </w:rPr>
              <w:t xml:space="preserve">Weitere Informationen unter </w:t>
            </w:r>
            <w:hyperlink r:id="rId14">
              <w:r>
                <w:rPr>
                  <w:rStyle w:val="Hyperlink"/>
                  <w:color w:val="000000"/>
                  <w:sz w:val="20"/>
                  <w:szCs w:val="20"/>
                </w:rPr>
                <w:t>www.haefele.de</w:t>
              </w:r>
            </w:hyperlink>
          </w:p>
          <w:p w14:paraId="0555983C" w14:textId="77777777" w:rsidR="006F35C7" w:rsidRDefault="00774C35">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3FBDF87C" w14:textId="77777777" w:rsidR="006F35C7" w:rsidRDefault="00774C35">
            <w:pPr>
              <w:rPr>
                <w:sz w:val="20"/>
                <w:szCs w:val="20"/>
              </w:rPr>
            </w:pPr>
            <w:r>
              <w:rPr>
                <w:sz w:val="20"/>
                <w:szCs w:val="20"/>
              </w:rPr>
              <w:br/>
            </w:r>
          </w:p>
        </w:tc>
      </w:tr>
      <w:tr w:rsidR="006F35C7" w14:paraId="3085B2D4"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72395AA3" w14:textId="77777777" w:rsidR="006F35C7" w:rsidRDefault="006F35C7">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1D571322" w14:textId="77777777" w:rsidR="006F35C7" w:rsidRDefault="006F35C7">
            <w:pPr>
              <w:rPr>
                <w:sz w:val="20"/>
                <w:szCs w:val="20"/>
              </w:rPr>
            </w:pPr>
          </w:p>
        </w:tc>
      </w:tr>
    </w:tbl>
    <w:p w14:paraId="142A40B1" w14:textId="77777777" w:rsidR="006F35C7" w:rsidRDefault="00774C35">
      <w:pPr>
        <w:spacing w:line="240" w:lineRule="auto"/>
      </w:pPr>
      <w: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6F35C7" w14:paraId="2CEE99C7"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34007954" w14:textId="77777777" w:rsidR="006F35C7" w:rsidRDefault="00774C35">
            <w:pPr>
              <w:rPr>
                <w:sz w:val="20"/>
                <w:szCs w:val="20"/>
              </w:rPr>
            </w:pPr>
            <w:r>
              <w:rPr>
                <w:b/>
                <w:sz w:val="20"/>
                <w:szCs w:val="20"/>
              </w:rPr>
              <w:t>QR-Code der Medieninformation</w:t>
            </w:r>
          </w:p>
        </w:tc>
        <w:tc>
          <w:tcPr>
            <w:tcW w:w="1500" w:type="pct"/>
            <w:tcBorders>
              <w:top w:val="nil"/>
              <w:left w:val="nil"/>
              <w:bottom w:val="nil"/>
              <w:right w:val="nil"/>
            </w:tcBorders>
            <w:shd w:val="clear" w:color="auto" w:fill="auto"/>
            <w:tcMar>
              <w:top w:w="0" w:type="dxa"/>
              <w:left w:w="0" w:type="dxa"/>
              <w:bottom w:w="0" w:type="dxa"/>
              <w:right w:w="227" w:type="dxa"/>
            </w:tcMar>
          </w:tcPr>
          <w:p w14:paraId="113B59BE" w14:textId="77777777" w:rsidR="006F35C7" w:rsidRDefault="00774C35">
            <w:pPr>
              <w:rPr>
                <w:sz w:val="20"/>
                <w:szCs w:val="20"/>
              </w:rPr>
            </w:pPr>
            <w:r>
              <w:rPr>
                <w:sz w:val="20"/>
                <w:szCs w:val="20"/>
              </w:rPr>
              <w:br/>
            </w:r>
          </w:p>
        </w:tc>
      </w:tr>
      <w:tr w:rsidR="006F35C7" w14:paraId="751744CB"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588E3345" w14:textId="77777777" w:rsidR="006F35C7" w:rsidRDefault="006F35C7">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6251BEF2" w14:textId="77777777" w:rsidR="006F35C7" w:rsidRDefault="006F35C7">
            <w:pPr>
              <w:rPr>
                <w:sz w:val="20"/>
                <w:szCs w:val="20"/>
              </w:rPr>
            </w:pPr>
          </w:p>
        </w:tc>
      </w:tr>
    </w:tbl>
    <w:p w14:paraId="18B71BC1" w14:textId="77777777" w:rsidR="006F35C7" w:rsidRDefault="00774C35">
      <w:r>
        <w:rPr>
          <w:noProof/>
          <w:sz w:val="18"/>
          <w:szCs w:val="18"/>
        </w:rPr>
        <w:drawing>
          <wp:inline distT="0" distB="0" distL="0" distR="0" wp14:anchorId="3D0C25C4" wp14:editId="051924F2">
            <wp:extent cx="1800860" cy="180086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5" cstate="print">
                      <a:extLst>
                        <a:ext uri="{28A0092B-C50C-407E-A947-70E740481C1C}">
                          <a14:useLocalDpi xmlns:a14="http://schemas.microsoft.com/office/drawing/2010/main"/>
                        </a:ext>
                      </a:extLst>
                    </a:blip>
                    <a:srcRect/>
                    <a:stretch>
                      <a:fillRect/>
                    </a:stretch>
                  </pic:blipFill>
                  <pic:spPr>
                    <a:xfrm>
                      <a:off x="0" y="0"/>
                      <a:ext cx="1800860" cy="1800860"/>
                    </a:xfrm>
                    <a:prstGeom prst="rect">
                      <a:avLst/>
                    </a:prstGeom>
                  </pic:spPr>
                </pic:pic>
              </a:graphicData>
            </a:graphic>
          </wp:inline>
        </w:drawing>
      </w:r>
      <w:r>
        <w:rPr>
          <w:sz w:val="18"/>
          <w:szCs w:val="18"/>
        </w:rPr>
        <w:br/>
      </w:r>
    </w:p>
    <w:sectPr w:rsidR="006F35C7">
      <w:headerReference w:type="default" r:id="rId16"/>
      <w:footerReference w:type="default" r:id="rId17"/>
      <w:headerReference w:type="first" r:id="rId18"/>
      <w:footerReference w:type="first" r:id="rId19"/>
      <w:pgSz w:w="11906" w:h="16838"/>
      <w:pgMar w:top="2154" w:right="1020" w:bottom="1134" w:left="1134" w:header="850"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85763" w14:textId="77777777" w:rsidR="00774C35" w:rsidRDefault="00774C35">
      <w:pPr>
        <w:spacing w:line="240" w:lineRule="auto"/>
      </w:pPr>
      <w:r>
        <w:separator/>
      </w:r>
    </w:p>
  </w:endnote>
  <w:endnote w:type="continuationSeparator" w:id="0">
    <w:p w14:paraId="0B6DB9F0" w14:textId="77777777" w:rsidR="00774C35" w:rsidRDefault="00774C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6F35C7" w14:paraId="078F39C6"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6FD325F0" w14:textId="77777777" w:rsidR="006F35C7" w:rsidRDefault="006F35C7">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126353B6" w14:textId="77777777" w:rsidR="006F35C7" w:rsidRDefault="006F35C7">
          <w:pPr>
            <w:rPr>
              <w:sz w:val="14"/>
              <w:szCs w:val="14"/>
            </w:rPr>
          </w:pPr>
        </w:p>
      </w:tc>
    </w:tr>
  </w:tbl>
  <w:p w14:paraId="1CA80D71" w14:textId="77777777" w:rsidR="006F35C7" w:rsidRDefault="006F35C7">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6F35C7" w14:paraId="4C4FB809"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p w14:paraId="3E54924A" w14:textId="77777777" w:rsidR="006F35C7" w:rsidRDefault="006F35C7">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4D7CEAFD" w14:textId="77777777" w:rsidR="006F35C7" w:rsidRDefault="006F35C7">
          <w:pPr>
            <w:rPr>
              <w:sz w:val="14"/>
              <w:szCs w:val="14"/>
            </w:rPr>
          </w:pPr>
        </w:p>
      </w:tc>
    </w:tr>
  </w:tbl>
  <w:p w14:paraId="29542017" w14:textId="77777777" w:rsidR="006F35C7" w:rsidRDefault="006F35C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EFBA31" w14:textId="77777777" w:rsidR="00774C35" w:rsidRDefault="00774C35">
      <w:pPr>
        <w:spacing w:line="240" w:lineRule="auto"/>
      </w:pPr>
      <w:r>
        <w:separator/>
      </w:r>
    </w:p>
  </w:footnote>
  <w:footnote w:type="continuationSeparator" w:id="0">
    <w:p w14:paraId="65F32042" w14:textId="77777777" w:rsidR="00774C35" w:rsidRDefault="00774C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E2826" w14:textId="77777777" w:rsidR="006F35C7" w:rsidRDefault="00774C35">
    <w:r>
      <w:rPr>
        <w:noProof/>
      </w:rPr>
      <w:drawing>
        <wp:anchor distT="0" distB="0" distL="114300" distR="114300" simplePos="0" relativeHeight="251659264" behindDoc="0" locked="0" layoutInCell="0" allowOverlap="0" wp14:anchorId="610B0BEB" wp14:editId="7FD533DF">
          <wp:simplePos x="0" y="0"/>
          <wp:positionH relativeFrom="page">
            <wp:posOffset>5147945</wp:posOffset>
          </wp:positionH>
          <wp:positionV relativeFrom="page">
            <wp:posOffset>539750</wp:posOffset>
          </wp:positionV>
          <wp:extent cx="1235710" cy="58801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0E2B3" w14:textId="77777777" w:rsidR="006F35C7" w:rsidRDefault="00774C35">
    <w:r>
      <w:rPr>
        <w:noProof/>
      </w:rPr>
      <w:drawing>
        <wp:anchor distT="0" distB="0" distL="114300" distR="114300" simplePos="0" relativeHeight="251658240" behindDoc="0" locked="0" layoutInCell="0" allowOverlap="0" wp14:anchorId="3133FBBB" wp14:editId="324D0961">
          <wp:simplePos x="0" y="0"/>
          <wp:positionH relativeFrom="page">
            <wp:posOffset>5147945</wp:posOffset>
          </wp:positionH>
          <wp:positionV relativeFrom="page">
            <wp:posOffset>539750</wp:posOffset>
          </wp:positionV>
          <wp:extent cx="1235710" cy="58801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35710" cy="588010"/>
                  </a:xfrm>
                  <a:prstGeom prst="rect">
                    <a:avLst/>
                  </a:prstGeom>
                </pic:spPr>
              </pic:pic>
            </a:graphicData>
          </a:graphic>
        </wp:anchor>
      </w:drawing>
    </w:r>
    <w:r>
      <w:rPr>
        <w:rFonts w:eastAsia="Arial"/>
        <w:b/>
      </w:rPr>
      <w:t>PRESSE-INFORMATION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5C7"/>
    <w:rsid w:val="000269A8"/>
    <w:rsid w:val="00221C42"/>
    <w:rsid w:val="002B366D"/>
    <w:rsid w:val="004B4CBB"/>
    <w:rsid w:val="004E7C68"/>
    <w:rsid w:val="006F35C7"/>
    <w:rsid w:val="00774C35"/>
    <w:rsid w:val="00F77544"/>
    <w:rsid w:val="00FE02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98C36"/>
  <w15:docId w15:val="{5A46EB94-71E2-4461-A84B-BF183F824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haefele.d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1105</Words>
  <Characters>6966</Characters>
  <Application>Microsoft Office Word</Application>
  <DocSecurity>0</DocSecurity>
  <Lines>58</Lines>
  <Paragraphs>16</Paragraphs>
  <ScaleCrop>false</ScaleCrop>
  <Company/>
  <LinksUpToDate>false</LinksUpToDate>
  <CharactersWithSpaces>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Dubbert</dc:creator>
  <cp:lastModifiedBy>Bastian Zink</cp:lastModifiedBy>
  <cp:revision>3</cp:revision>
  <dcterms:created xsi:type="dcterms:W3CDTF">2024-11-04T12:53:00Z</dcterms:created>
  <dcterms:modified xsi:type="dcterms:W3CDTF">2024-11-08T10:32:00Z</dcterms:modified>
</cp:coreProperties>
</file>