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F29A1" w14:textId="77777777" w:rsidR="00831345" w:rsidRPr="00427D63" w:rsidRDefault="00831345"/>
    <w:p w14:paraId="0B6955BA" w14:textId="630A788A" w:rsidR="003874E8" w:rsidRPr="00427D63" w:rsidRDefault="003874E8"/>
    <w:p w14:paraId="54FE6828" w14:textId="393EBA11" w:rsidR="003874E8" w:rsidRPr="00427D63" w:rsidRDefault="007A6C19">
      <w:pPr>
        <w:rPr>
          <w:rFonts w:ascii="Arial" w:hAnsi="Arial" w:cs="Arial"/>
          <w:sz w:val="22"/>
          <w:szCs w:val="22"/>
        </w:rPr>
      </w:pPr>
      <w:r w:rsidRPr="00427D63">
        <w:rPr>
          <w:rFonts w:ascii="Arial" w:hAnsi="Arial" w:cs="Arial"/>
          <w:sz w:val="22"/>
          <w:szCs w:val="22"/>
        </w:rPr>
        <w:t>Medienmitteilung</w:t>
      </w:r>
    </w:p>
    <w:p w14:paraId="2F262468" w14:textId="77777777" w:rsidR="007A6C19" w:rsidRPr="00427D63" w:rsidRDefault="007A6C19">
      <w:pPr>
        <w:rPr>
          <w:rFonts w:ascii="Arial" w:hAnsi="Arial" w:cs="Arial"/>
          <w:sz w:val="22"/>
          <w:szCs w:val="22"/>
        </w:rPr>
      </w:pPr>
    </w:p>
    <w:p w14:paraId="7E2FE8DC" w14:textId="6FD58D6A" w:rsidR="00DF0DF6" w:rsidRPr="00427D63" w:rsidRDefault="0E6AD006">
      <w:pPr>
        <w:rPr>
          <w:rFonts w:ascii="Arial" w:hAnsi="Arial" w:cs="Arial"/>
          <w:sz w:val="28"/>
          <w:szCs w:val="28"/>
        </w:rPr>
      </w:pPr>
      <w:r w:rsidRPr="039E0F2C">
        <w:rPr>
          <w:rFonts w:ascii="Arial" w:hAnsi="Arial" w:cs="Arial"/>
          <w:sz w:val="28"/>
          <w:szCs w:val="28"/>
        </w:rPr>
        <w:t>Effizient, u</w:t>
      </w:r>
      <w:r w:rsidR="17B594E8" w:rsidRPr="039E0F2C">
        <w:rPr>
          <w:rFonts w:ascii="Arial" w:hAnsi="Arial" w:cs="Arial"/>
          <w:sz w:val="28"/>
          <w:szCs w:val="28"/>
        </w:rPr>
        <w:t>mwelt- und kundenfreundlich</w:t>
      </w:r>
    </w:p>
    <w:p w14:paraId="0CB24F63" w14:textId="77777777" w:rsidR="00EA1DDC" w:rsidRPr="00427D63" w:rsidRDefault="00EA1DDC">
      <w:pPr>
        <w:rPr>
          <w:rFonts w:ascii="Arial" w:hAnsi="Arial" w:cs="Arial"/>
          <w:sz w:val="28"/>
          <w:szCs w:val="28"/>
        </w:rPr>
      </w:pPr>
    </w:p>
    <w:p w14:paraId="18BEC19A" w14:textId="77777777" w:rsidR="00EA1DDC" w:rsidRPr="00427D63" w:rsidRDefault="00EA1DDC">
      <w:pPr>
        <w:rPr>
          <w:rFonts w:ascii="Arial" w:hAnsi="Arial" w:cs="Arial"/>
          <w:sz w:val="28"/>
          <w:szCs w:val="28"/>
        </w:rPr>
      </w:pPr>
    </w:p>
    <w:p w14:paraId="404FD6CD" w14:textId="18DDA5FD" w:rsidR="003874E8" w:rsidRPr="00427D63" w:rsidRDefault="17B594E8">
      <w:pPr>
        <w:rPr>
          <w:rFonts w:ascii="Arial" w:hAnsi="Arial" w:cs="Arial"/>
          <w:b/>
          <w:bCs/>
          <w:sz w:val="22"/>
          <w:szCs w:val="22"/>
        </w:rPr>
      </w:pPr>
      <w:r w:rsidRPr="039E0F2C">
        <w:rPr>
          <w:rFonts w:ascii="Arial" w:hAnsi="Arial" w:cs="Arial"/>
          <w:b/>
          <w:bCs/>
          <w:sz w:val="22"/>
          <w:szCs w:val="22"/>
        </w:rPr>
        <w:t xml:space="preserve">Bauwerk Group </w:t>
      </w:r>
      <w:r w:rsidR="0F40FDED" w:rsidRPr="039E0F2C">
        <w:rPr>
          <w:rFonts w:ascii="Arial" w:hAnsi="Arial" w:cs="Arial"/>
          <w:b/>
          <w:bCs/>
          <w:sz w:val="22"/>
          <w:szCs w:val="22"/>
        </w:rPr>
        <w:t xml:space="preserve">implementiert effizientere Logistikprozesse, </w:t>
      </w:r>
      <w:r w:rsidR="00013B94">
        <w:rPr>
          <w:rFonts w:ascii="Arial" w:hAnsi="Arial" w:cs="Arial"/>
          <w:b/>
          <w:bCs/>
          <w:sz w:val="22"/>
          <w:szCs w:val="22"/>
        </w:rPr>
        <w:t xml:space="preserve">verkürzt Transportzeiten und </w:t>
      </w:r>
      <w:r w:rsidRPr="039E0F2C">
        <w:rPr>
          <w:rFonts w:ascii="Arial" w:hAnsi="Arial" w:cs="Arial"/>
          <w:b/>
          <w:bCs/>
          <w:sz w:val="22"/>
          <w:szCs w:val="22"/>
        </w:rPr>
        <w:t>reduziert CO</w:t>
      </w:r>
      <w:r w:rsidRPr="039E0F2C">
        <w:rPr>
          <w:rFonts w:ascii="Arial" w:hAnsi="Arial" w:cs="Arial"/>
          <w:b/>
          <w:bCs/>
          <w:sz w:val="22"/>
          <w:szCs w:val="22"/>
          <w:vertAlign w:val="subscript"/>
        </w:rPr>
        <w:t>2</w:t>
      </w:r>
      <w:r w:rsidRPr="039E0F2C">
        <w:rPr>
          <w:rFonts w:ascii="Arial" w:hAnsi="Arial" w:cs="Arial"/>
          <w:b/>
          <w:bCs/>
          <w:sz w:val="22"/>
          <w:szCs w:val="22"/>
        </w:rPr>
        <w:t xml:space="preserve">-Emissionen </w:t>
      </w:r>
      <w:r w:rsidR="27135A98" w:rsidRPr="039E0F2C">
        <w:rPr>
          <w:rFonts w:ascii="Arial" w:hAnsi="Arial" w:cs="Arial"/>
          <w:b/>
          <w:bCs/>
          <w:sz w:val="22"/>
          <w:szCs w:val="22"/>
        </w:rPr>
        <w:t>bei Transporten</w:t>
      </w:r>
      <w:r w:rsidR="0042069C">
        <w:rPr>
          <w:rFonts w:ascii="Arial" w:hAnsi="Arial" w:cs="Arial"/>
          <w:b/>
          <w:bCs/>
          <w:sz w:val="22"/>
          <w:szCs w:val="22"/>
        </w:rPr>
        <w:t>.</w:t>
      </w:r>
    </w:p>
    <w:p w14:paraId="36173ED8" w14:textId="77777777" w:rsidR="00EA1DDC" w:rsidRPr="00427D63" w:rsidRDefault="00EA1DDC">
      <w:pPr>
        <w:rPr>
          <w:rFonts w:ascii="Arial" w:hAnsi="Arial" w:cs="Arial"/>
          <w:sz w:val="22"/>
          <w:szCs w:val="22"/>
        </w:rPr>
      </w:pPr>
    </w:p>
    <w:p w14:paraId="7976C6D2" w14:textId="77777777" w:rsidR="007A6C19" w:rsidRPr="00427D63" w:rsidRDefault="007A6C19">
      <w:pPr>
        <w:rPr>
          <w:rFonts w:ascii="Arial" w:hAnsi="Arial" w:cs="Arial"/>
          <w:sz w:val="22"/>
          <w:szCs w:val="22"/>
        </w:rPr>
      </w:pPr>
    </w:p>
    <w:p w14:paraId="200E5300" w14:textId="48441E83" w:rsidR="003874E8" w:rsidRPr="00427D63" w:rsidRDefault="00EA1DDC" w:rsidP="007A6C19">
      <w:pPr>
        <w:pStyle w:val="Lauftext"/>
        <w:tabs>
          <w:tab w:val="left" w:pos="1843"/>
          <w:tab w:val="left" w:pos="4111"/>
          <w:tab w:val="left" w:pos="7088"/>
        </w:tabs>
        <w:spacing w:after="0" w:line="240" w:lineRule="auto"/>
        <w:jc w:val="center"/>
        <w:rPr>
          <w:rFonts w:ascii="Arial" w:hAnsi="Arial" w:cs="Arial"/>
          <w:b/>
          <w:sz w:val="22"/>
        </w:rPr>
      </w:pPr>
      <w:r w:rsidRPr="00427D63">
        <w:rPr>
          <w:rFonts w:ascii="Arial" w:hAnsi="Arial" w:cs="Arial"/>
          <w:b/>
          <w:noProof/>
          <w:sz w:val="22"/>
        </w:rPr>
        <w:drawing>
          <wp:inline distT="0" distB="0" distL="0" distR="0" wp14:anchorId="7853616D" wp14:editId="1C8E0063">
            <wp:extent cx="3437215" cy="2578100"/>
            <wp:effectExtent l="0" t="0" r="5080" b="0"/>
            <wp:docPr id="315774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74066" name="Grafik 3157740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1603" cy="2611393"/>
                    </a:xfrm>
                    <a:prstGeom prst="rect">
                      <a:avLst/>
                    </a:prstGeom>
                  </pic:spPr>
                </pic:pic>
              </a:graphicData>
            </a:graphic>
          </wp:inline>
        </w:drawing>
      </w:r>
    </w:p>
    <w:p w14:paraId="5A1F9D32" w14:textId="77777777" w:rsidR="007A6C19" w:rsidRPr="00427D63"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34250A90" w14:textId="77777777" w:rsidR="007A6C19" w:rsidRPr="00427D63" w:rsidRDefault="007A6C19" w:rsidP="007A6C19">
      <w:pPr>
        <w:pStyle w:val="Lauftext"/>
        <w:tabs>
          <w:tab w:val="left" w:pos="1843"/>
          <w:tab w:val="left" w:pos="4111"/>
          <w:tab w:val="left" w:pos="7088"/>
        </w:tabs>
        <w:spacing w:after="0" w:line="240" w:lineRule="auto"/>
        <w:jc w:val="center"/>
        <w:rPr>
          <w:rFonts w:ascii="Arial" w:hAnsi="Arial" w:cs="Arial"/>
          <w:b/>
          <w:sz w:val="22"/>
        </w:rPr>
      </w:pPr>
    </w:p>
    <w:p w14:paraId="702519F6" w14:textId="500FC5A8" w:rsidR="00427D63" w:rsidRPr="00427D63" w:rsidRDefault="17B594E8" w:rsidP="039E0F2C">
      <w:pPr>
        <w:spacing w:after="240"/>
        <w:rPr>
          <w:rFonts w:ascii="Arial" w:hAnsi="Arial" w:cs="Arial"/>
          <w:i/>
          <w:iCs/>
          <w:sz w:val="22"/>
          <w:szCs w:val="22"/>
        </w:rPr>
      </w:pPr>
      <w:r w:rsidRPr="039E0F2C">
        <w:rPr>
          <w:rFonts w:ascii="Arial" w:hAnsi="Arial" w:cs="Arial"/>
          <w:i/>
          <w:iCs/>
          <w:sz w:val="22"/>
          <w:szCs w:val="22"/>
        </w:rPr>
        <w:t>Moderne Logistiklösungen setzen auf eine Kombination aus Effizienz und Umweltbewusstsein. Durch optimierte</w:t>
      </w:r>
      <w:r w:rsidR="00B87498">
        <w:rPr>
          <w:rFonts w:ascii="Arial" w:hAnsi="Arial" w:cs="Arial"/>
          <w:i/>
          <w:iCs/>
          <w:sz w:val="22"/>
          <w:szCs w:val="22"/>
        </w:rPr>
        <w:t>,</w:t>
      </w:r>
      <w:r w:rsidRPr="039E0F2C">
        <w:rPr>
          <w:rFonts w:ascii="Arial" w:hAnsi="Arial" w:cs="Arial"/>
          <w:i/>
          <w:iCs/>
          <w:sz w:val="22"/>
          <w:szCs w:val="22"/>
        </w:rPr>
        <w:t xml:space="preserve"> </w:t>
      </w:r>
      <w:r w:rsidR="1ED9EC4A" w:rsidRPr="039E0F2C">
        <w:rPr>
          <w:rFonts w:ascii="Arial" w:hAnsi="Arial" w:cs="Arial"/>
          <w:i/>
          <w:iCs/>
          <w:sz w:val="22"/>
          <w:szCs w:val="22"/>
        </w:rPr>
        <w:t xml:space="preserve">umweltfreundliche </w:t>
      </w:r>
      <w:r w:rsidRPr="039E0F2C">
        <w:rPr>
          <w:rFonts w:ascii="Arial" w:hAnsi="Arial" w:cs="Arial"/>
          <w:i/>
          <w:iCs/>
          <w:sz w:val="22"/>
          <w:szCs w:val="22"/>
        </w:rPr>
        <w:t xml:space="preserve">Transportwege, bestmögliche Fahrzeugauslastung und die Nutzung von digitaler Transparenz entlang der Lieferketten lassen sich Transportzeiten verkürzen, Emissionen reduzieren und der Service für Kundinnen und Kunden noch besser gestalten. </w:t>
      </w:r>
      <w:r w:rsidR="28AF2408" w:rsidRPr="039E0F2C">
        <w:rPr>
          <w:rFonts w:ascii="Arial" w:hAnsi="Arial" w:cs="Arial"/>
          <w:i/>
          <w:iCs/>
          <w:sz w:val="22"/>
          <w:szCs w:val="22"/>
        </w:rPr>
        <w:t xml:space="preserve">Flexibilität, </w:t>
      </w:r>
      <w:r w:rsidRPr="039E0F2C">
        <w:rPr>
          <w:rFonts w:ascii="Arial" w:hAnsi="Arial" w:cs="Arial"/>
          <w:i/>
          <w:iCs/>
          <w:sz w:val="22"/>
          <w:szCs w:val="22"/>
        </w:rPr>
        <w:t xml:space="preserve">Nachhaltigkeit und Geschwindigkeit müssen sich dabei nicht ausschliessen – im Gegenteil, sie gehen Hand in Hand. </w:t>
      </w:r>
    </w:p>
    <w:p w14:paraId="08BC772A" w14:textId="4A4BA9EE" w:rsidR="00EA1DDC" w:rsidRPr="00427D63" w:rsidRDefault="17B594E8" w:rsidP="039E0F2C">
      <w:pPr>
        <w:spacing w:after="240"/>
        <w:rPr>
          <w:rFonts w:ascii="Arial" w:hAnsi="Arial" w:cs="Arial"/>
          <w:i/>
          <w:iCs/>
          <w:sz w:val="22"/>
          <w:szCs w:val="22"/>
        </w:rPr>
      </w:pPr>
      <w:r w:rsidRPr="039E0F2C">
        <w:rPr>
          <w:rFonts w:ascii="Arial" w:hAnsi="Arial" w:cs="Arial"/>
          <w:sz w:val="22"/>
          <w:szCs w:val="22"/>
        </w:rPr>
        <w:t>Ab dem 1. Januar 2025 wird die Bauwerk Group ihre</w:t>
      </w:r>
      <w:r w:rsidR="00F04855">
        <w:rPr>
          <w:rFonts w:ascii="Arial" w:hAnsi="Arial" w:cs="Arial"/>
          <w:sz w:val="22"/>
          <w:szCs w:val="22"/>
        </w:rPr>
        <w:t xml:space="preserve"> Prozesse im</w:t>
      </w:r>
      <w:r w:rsidRPr="039E0F2C">
        <w:rPr>
          <w:rFonts w:ascii="Arial" w:hAnsi="Arial" w:cs="Arial"/>
          <w:sz w:val="22"/>
          <w:szCs w:val="22"/>
        </w:rPr>
        <w:t xml:space="preserve"> </w:t>
      </w:r>
      <w:r w:rsidR="02EF82CA" w:rsidRPr="039E0F2C">
        <w:rPr>
          <w:rFonts w:ascii="Arial" w:hAnsi="Arial" w:cs="Arial"/>
          <w:sz w:val="22"/>
          <w:szCs w:val="22"/>
        </w:rPr>
        <w:t>Fertigwaren</w:t>
      </w:r>
      <w:r w:rsidR="006E4304">
        <w:rPr>
          <w:rFonts w:ascii="Arial" w:hAnsi="Arial" w:cs="Arial"/>
          <w:sz w:val="22"/>
          <w:szCs w:val="22"/>
        </w:rPr>
        <w:t>l</w:t>
      </w:r>
      <w:r w:rsidRPr="039E0F2C">
        <w:rPr>
          <w:rFonts w:ascii="Arial" w:hAnsi="Arial" w:cs="Arial"/>
          <w:sz w:val="22"/>
          <w:szCs w:val="22"/>
        </w:rPr>
        <w:t>ager und</w:t>
      </w:r>
      <w:r w:rsidR="00A16C08">
        <w:rPr>
          <w:rFonts w:ascii="Arial" w:hAnsi="Arial" w:cs="Arial"/>
          <w:sz w:val="22"/>
          <w:szCs w:val="22"/>
        </w:rPr>
        <w:t xml:space="preserve"> </w:t>
      </w:r>
      <w:r w:rsidRPr="039E0F2C">
        <w:rPr>
          <w:rFonts w:ascii="Arial" w:hAnsi="Arial" w:cs="Arial"/>
          <w:sz w:val="22"/>
          <w:szCs w:val="22"/>
        </w:rPr>
        <w:t>Transport umstellen. Die bisherigen Lagerstandorte in Baindt (Deutschland) und Berneck (Schweiz) werden</w:t>
      </w:r>
      <w:r w:rsidR="10E18DA6" w:rsidRPr="039E0F2C">
        <w:rPr>
          <w:rFonts w:ascii="Arial" w:hAnsi="Arial" w:cs="Arial"/>
          <w:sz w:val="22"/>
          <w:szCs w:val="22"/>
        </w:rPr>
        <w:t xml:space="preserve"> </w:t>
      </w:r>
      <w:r w:rsidRPr="039E0F2C">
        <w:rPr>
          <w:rFonts w:ascii="Arial" w:hAnsi="Arial" w:cs="Arial"/>
          <w:sz w:val="22"/>
          <w:szCs w:val="22"/>
        </w:rPr>
        <w:t xml:space="preserve">durch ein Zentrallager und Distributionszentrum im süddeutschen Ravensburg ersetzt. Diese Umstrukturierung erfolgt nach einer dreimonatigen Übergangsphase vom 1. Oktober bis 31. Dezember 2024. Aufgrund dieser Veränderung wird </w:t>
      </w:r>
      <w:r w:rsidR="37D417DA" w:rsidRPr="039E0F2C">
        <w:rPr>
          <w:rFonts w:ascii="Arial" w:hAnsi="Arial" w:cs="Arial"/>
          <w:sz w:val="22"/>
          <w:szCs w:val="22"/>
        </w:rPr>
        <w:t xml:space="preserve">die </w:t>
      </w:r>
      <w:r w:rsidRPr="039E0F2C">
        <w:rPr>
          <w:rFonts w:ascii="Arial" w:hAnsi="Arial" w:cs="Arial"/>
          <w:sz w:val="22"/>
          <w:szCs w:val="22"/>
        </w:rPr>
        <w:t xml:space="preserve">Bauwerk Group mit zwei neuen Logistik-Dienstleistern zusammenarbeiten. Die zuverlässige und pünktliche Warenauslieferung bleibt auch während der Umstellung und Zentralisierung der Lager gewährleistet. </w:t>
      </w:r>
    </w:p>
    <w:p w14:paraId="57458528" w14:textId="0CDA5966" w:rsidR="00EA1DDC" w:rsidRPr="00427D63" w:rsidRDefault="00EA1DDC" w:rsidP="00EA1DDC">
      <w:pPr>
        <w:spacing w:after="240"/>
        <w:rPr>
          <w:rFonts w:ascii="Arial" w:hAnsi="Arial" w:cs="Arial"/>
          <w:sz w:val="22"/>
          <w:szCs w:val="22"/>
        </w:rPr>
      </w:pPr>
      <w:r w:rsidRPr="28D22FA5">
        <w:rPr>
          <w:rFonts w:ascii="Arial" w:hAnsi="Arial" w:cs="Arial"/>
          <w:sz w:val="22"/>
          <w:szCs w:val="22"/>
        </w:rPr>
        <w:t xml:space="preserve">Das </w:t>
      </w:r>
      <w:r w:rsidR="008C6F75">
        <w:rPr>
          <w:rFonts w:ascii="Arial" w:hAnsi="Arial" w:cs="Arial"/>
          <w:sz w:val="22"/>
          <w:szCs w:val="22"/>
        </w:rPr>
        <w:t>konsolidierte</w:t>
      </w:r>
      <w:r w:rsidR="008C6F75" w:rsidRPr="28D22FA5">
        <w:rPr>
          <w:rFonts w:ascii="Arial" w:hAnsi="Arial" w:cs="Arial"/>
          <w:sz w:val="22"/>
          <w:szCs w:val="22"/>
        </w:rPr>
        <w:t xml:space="preserve"> </w:t>
      </w:r>
      <w:r w:rsidRPr="28D22FA5">
        <w:rPr>
          <w:rFonts w:ascii="Arial" w:hAnsi="Arial" w:cs="Arial"/>
          <w:sz w:val="22"/>
          <w:szCs w:val="22"/>
        </w:rPr>
        <w:t xml:space="preserve">Lager- und Distributionszentrum wird </w:t>
      </w:r>
      <w:r w:rsidR="00F649A0">
        <w:rPr>
          <w:rFonts w:ascii="Arial" w:hAnsi="Arial" w:cs="Arial"/>
          <w:sz w:val="22"/>
          <w:szCs w:val="22"/>
        </w:rPr>
        <w:t xml:space="preserve">vom </w:t>
      </w:r>
      <w:r w:rsidR="008C6F75">
        <w:rPr>
          <w:rFonts w:ascii="Arial" w:hAnsi="Arial" w:cs="Arial"/>
          <w:sz w:val="22"/>
          <w:szCs w:val="22"/>
        </w:rPr>
        <w:t xml:space="preserve">neuen </w:t>
      </w:r>
      <w:r w:rsidR="00F649A0">
        <w:rPr>
          <w:rFonts w:ascii="Arial" w:hAnsi="Arial" w:cs="Arial"/>
          <w:sz w:val="22"/>
          <w:szCs w:val="22"/>
        </w:rPr>
        <w:t xml:space="preserve">Partner </w:t>
      </w:r>
      <w:proofErr w:type="spellStart"/>
      <w:r w:rsidR="00F649A0">
        <w:rPr>
          <w:rFonts w:ascii="Arial" w:hAnsi="Arial" w:cs="Arial"/>
          <w:sz w:val="22"/>
          <w:szCs w:val="22"/>
        </w:rPr>
        <w:t>Noerpel</w:t>
      </w:r>
      <w:proofErr w:type="spellEnd"/>
      <w:r w:rsidR="00F649A0">
        <w:rPr>
          <w:rFonts w:ascii="Arial" w:hAnsi="Arial" w:cs="Arial"/>
          <w:sz w:val="22"/>
          <w:szCs w:val="22"/>
        </w:rPr>
        <w:t xml:space="preserve"> SE betrieben</w:t>
      </w:r>
      <w:r w:rsidR="008C6F75">
        <w:rPr>
          <w:rFonts w:ascii="Arial" w:hAnsi="Arial" w:cs="Arial"/>
          <w:sz w:val="22"/>
          <w:szCs w:val="22"/>
        </w:rPr>
        <w:t>, dient als zentrale</w:t>
      </w:r>
      <w:r w:rsidR="00F649A0">
        <w:rPr>
          <w:rFonts w:ascii="Arial" w:hAnsi="Arial" w:cs="Arial"/>
          <w:sz w:val="22"/>
          <w:szCs w:val="22"/>
        </w:rPr>
        <w:t xml:space="preserve"> </w:t>
      </w:r>
      <w:r w:rsidRPr="28D22FA5">
        <w:rPr>
          <w:rFonts w:ascii="Arial" w:hAnsi="Arial" w:cs="Arial"/>
          <w:sz w:val="22"/>
          <w:szCs w:val="22"/>
        </w:rPr>
        <w:t xml:space="preserve">Drehscheibe für den Warenverkehr </w:t>
      </w:r>
      <w:r w:rsidR="04010E47" w:rsidRPr="28D22FA5">
        <w:rPr>
          <w:rFonts w:ascii="Arial" w:hAnsi="Arial" w:cs="Arial"/>
          <w:sz w:val="22"/>
          <w:szCs w:val="22"/>
        </w:rPr>
        <w:t xml:space="preserve">in </w:t>
      </w:r>
      <w:r w:rsidR="002A4BB7" w:rsidRPr="34A4CA6F">
        <w:rPr>
          <w:rFonts w:ascii="Arial" w:hAnsi="Arial" w:cs="Arial"/>
          <w:sz w:val="22"/>
          <w:szCs w:val="22"/>
        </w:rPr>
        <w:t>den</w:t>
      </w:r>
      <w:r w:rsidR="04010E47" w:rsidRPr="34A4CA6F">
        <w:rPr>
          <w:rFonts w:ascii="Arial" w:hAnsi="Arial" w:cs="Arial"/>
          <w:sz w:val="22"/>
          <w:szCs w:val="22"/>
        </w:rPr>
        <w:t xml:space="preserve"> zentraleuropäischen Märkten</w:t>
      </w:r>
      <w:r w:rsidR="008C6F75">
        <w:rPr>
          <w:rFonts w:ascii="Arial" w:hAnsi="Arial" w:cs="Arial"/>
          <w:sz w:val="22"/>
          <w:szCs w:val="22"/>
        </w:rPr>
        <w:t xml:space="preserve"> </w:t>
      </w:r>
      <w:r w:rsidR="008C6F75" w:rsidRPr="008C6F75">
        <w:rPr>
          <w:rFonts w:ascii="Arial" w:hAnsi="Arial" w:cs="Arial"/>
          <w:sz w:val="22"/>
          <w:szCs w:val="22"/>
        </w:rPr>
        <w:t>und ermöglicht in Summe eine effizientere und schnellere Produktauslieferung.</w:t>
      </w:r>
    </w:p>
    <w:p w14:paraId="5159ACB7" w14:textId="77777777" w:rsidR="00EA1DDC" w:rsidRPr="00427D63" w:rsidRDefault="00EA1DDC" w:rsidP="00EA1DDC">
      <w:pPr>
        <w:spacing w:after="240"/>
        <w:rPr>
          <w:rFonts w:ascii="Arial" w:hAnsi="Arial" w:cs="Arial"/>
          <w:sz w:val="22"/>
          <w:szCs w:val="22"/>
        </w:rPr>
      </w:pPr>
    </w:p>
    <w:p w14:paraId="34D5CA42" w14:textId="77777777" w:rsidR="00EA1DDC" w:rsidRPr="00427D63" w:rsidRDefault="00EA1DDC" w:rsidP="007E5FC1">
      <w:pPr>
        <w:spacing w:after="240"/>
        <w:rPr>
          <w:rFonts w:ascii="Arial" w:hAnsi="Arial" w:cs="Arial"/>
          <w:b/>
          <w:bCs/>
          <w:sz w:val="22"/>
          <w:szCs w:val="22"/>
        </w:rPr>
      </w:pPr>
      <w:r w:rsidRPr="00427D63">
        <w:rPr>
          <w:rFonts w:ascii="Arial" w:hAnsi="Arial" w:cs="Arial"/>
          <w:b/>
          <w:bCs/>
          <w:sz w:val="22"/>
          <w:szCs w:val="22"/>
        </w:rPr>
        <w:t>Duales Transportsystem für umweltfreundlichere Lieferungen</w:t>
      </w:r>
    </w:p>
    <w:p w14:paraId="791B2C51" w14:textId="66A05319" w:rsidR="00EA1DDC" w:rsidRPr="00427D63" w:rsidRDefault="00EA1DDC" w:rsidP="007E5FC1">
      <w:pPr>
        <w:spacing w:after="240"/>
        <w:rPr>
          <w:rFonts w:ascii="Arial" w:hAnsi="Arial" w:cs="Arial"/>
          <w:sz w:val="22"/>
          <w:szCs w:val="22"/>
        </w:rPr>
      </w:pPr>
      <w:r w:rsidRPr="4D84C97C">
        <w:rPr>
          <w:rFonts w:ascii="Arial" w:hAnsi="Arial" w:cs="Arial"/>
          <w:sz w:val="22"/>
          <w:szCs w:val="22"/>
        </w:rPr>
        <w:t xml:space="preserve">Ein zentrales Element der Neuausrichtung in der Schweiz ist die Zusammenarbeit mit Camion Transport AG, einem der führenden </w:t>
      </w:r>
      <w:r w:rsidRPr="4D84C97C">
        <w:rPr>
          <w:rFonts w:ascii="Arial" w:hAnsi="Arial" w:cs="Arial"/>
          <w:sz w:val="22"/>
          <w:szCs w:val="22"/>
        </w:rPr>
        <w:t xml:space="preserve">Anbieter im Bereich nachhaltiger Transportlogistik. Das Unternehmen investiert in umweltschonende Fahrzeugflotten und optimiert seine Dienstleistungen laufend, um höchste Effizienz zu gewährleisten. Ein Anspruch, den die Bauwerk Group als innovativer Marktführer für natürliche Holzböden auch an sich selbst stellt. Besondere Bedeutung kommt dabei dem dualen Transportsystem zu, das Bahn und LKW kombiniert. Während der Grossteil der längeren Strecken mit der Bahn zurückgelegt wird, erfolgt die lokale Auslieferung durch ortskundige LKW-Fahrerinnen und -fahrer. Die Nutzung des dualen Transportsystems </w:t>
      </w:r>
      <w:r w:rsidR="56DDD00A" w:rsidRPr="4D84C97C">
        <w:rPr>
          <w:rFonts w:ascii="Arial" w:hAnsi="Arial" w:cs="Arial"/>
          <w:sz w:val="22"/>
          <w:szCs w:val="22"/>
        </w:rPr>
        <w:t>in der Schweiz</w:t>
      </w:r>
      <w:r w:rsidRPr="4D84C97C">
        <w:rPr>
          <w:rFonts w:ascii="Arial" w:hAnsi="Arial" w:cs="Arial"/>
          <w:sz w:val="22"/>
          <w:szCs w:val="22"/>
        </w:rPr>
        <w:t xml:space="preserve"> ermöglicht eine CO</w:t>
      </w:r>
      <w:r w:rsidRPr="4D84C97C">
        <w:rPr>
          <w:rFonts w:ascii="Arial" w:hAnsi="Arial" w:cs="Arial"/>
          <w:sz w:val="22"/>
          <w:szCs w:val="22"/>
          <w:vertAlign w:val="subscript"/>
        </w:rPr>
        <w:t>2</w:t>
      </w:r>
      <w:r w:rsidRPr="4D84C97C">
        <w:rPr>
          <w:rFonts w:ascii="Arial" w:hAnsi="Arial" w:cs="Arial"/>
          <w:sz w:val="22"/>
          <w:szCs w:val="22"/>
        </w:rPr>
        <w:t xml:space="preserve">-Ausstossreduzierung </w:t>
      </w:r>
      <w:r w:rsidR="00DE6FA4" w:rsidRPr="4D84C97C">
        <w:rPr>
          <w:rFonts w:ascii="Arial" w:hAnsi="Arial" w:cs="Arial"/>
          <w:sz w:val="22"/>
          <w:szCs w:val="22"/>
        </w:rPr>
        <w:t xml:space="preserve">von </w:t>
      </w:r>
      <w:r w:rsidR="7CB9E021" w:rsidRPr="4D84C97C">
        <w:rPr>
          <w:rFonts w:ascii="Arial" w:hAnsi="Arial" w:cs="Arial"/>
          <w:sz w:val="22"/>
          <w:szCs w:val="22"/>
        </w:rPr>
        <w:t xml:space="preserve">bis zu </w:t>
      </w:r>
      <w:r w:rsidRPr="4D84C97C">
        <w:rPr>
          <w:rFonts w:ascii="Arial" w:hAnsi="Arial" w:cs="Arial"/>
          <w:sz w:val="22"/>
          <w:szCs w:val="22"/>
        </w:rPr>
        <w:t>25 Prozent im Vergleich zum reinen Strassentransport. Zudem ist durch die künftigen Prozesse eine hohe Lieferzuverlässigkeit garantiert.</w:t>
      </w:r>
    </w:p>
    <w:p w14:paraId="596CB2EF" w14:textId="77777777" w:rsidR="00EA1DDC" w:rsidRPr="00427D63" w:rsidRDefault="00EA1DDC" w:rsidP="007E5FC1">
      <w:pPr>
        <w:spacing w:after="240"/>
        <w:rPr>
          <w:rFonts w:ascii="Arial" w:hAnsi="Arial" w:cs="Arial"/>
          <w:b/>
          <w:bCs/>
          <w:sz w:val="22"/>
          <w:szCs w:val="22"/>
        </w:rPr>
      </w:pPr>
      <w:r w:rsidRPr="00427D63">
        <w:rPr>
          <w:rFonts w:ascii="Arial" w:hAnsi="Arial" w:cs="Arial"/>
          <w:b/>
          <w:bCs/>
          <w:sz w:val="22"/>
          <w:szCs w:val="22"/>
        </w:rPr>
        <w:t xml:space="preserve">Schnellere und effizientere Zustellungen </w:t>
      </w:r>
    </w:p>
    <w:p w14:paraId="6F032F0B" w14:textId="4AC92F07" w:rsidR="00D40E12" w:rsidRPr="00F8421E" w:rsidRDefault="00D40E12" w:rsidP="00D40E12">
      <w:pPr>
        <w:spacing w:after="240"/>
        <w:rPr>
          <w:rFonts w:ascii="Arial" w:hAnsi="Arial" w:cs="Arial"/>
          <w:sz w:val="22"/>
          <w:szCs w:val="22"/>
        </w:rPr>
      </w:pPr>
      <w:r w:rsidRPr="0AD11E0E">
        <w:rPr>
          <w:rFonts w:ascii="Arial" w:hAnsi="Arial" w:cs="Arial"/>
          <w:sz w:val="22"/>
          <w:szCs w:val="22"/>
        </w:rPr>
        <w:t xml:space="preserve">Durch die optimale Kombination der beiden Verkehrsträger Schiene und Strasse werden Verkehrsverzögerungen </w:t>
      </w:r>
      <w:r w:rsidR="00AA1963">
        <w:rPr>
          <w:rFonts w:ascii="Arial" w:hAnsi="Arial" w:cs="Arial"/>
          <w:sz w:val="22"/>
          <w:szCs w:val="22"/>
        </w:rPr>
        <w:t xml:space="preserve">in der Schweiz </w:t>
      </w:r>
      <w:r w:rsidRPr="0AD11E0E">
        <w:rPr>
          <w:rFonts w:ascii="Arial" w:hAnsi="Arial" w:cs="Arial"/>
          <w:sz w:val="22"/>
          <w:szCs w:val="22"/>
        </w:rPr>
        <w:t>reduziert und es treffen bis zu 80 Prozent der Lieferungen bereits am Folgetag bis 12 Uhr am Ziel ein. Seit Oktober 2024 informiert die Bauwerk Group ihre Kundinnen und Kunden</w:t>
      </w:r>
      <w:r w:rsidR="72C263D2" w:rsidRPr="0AD11E0E">
        <w:rPr>
          <w:rFonts w:ascii="Arial" w:hAnsi="Arial" w:cs="Arial"/>
          <w:sz w:val="22"/>
          <w:szCs w:val="22"/>
        </w:rPr>
        <w:t xml:space="preserve"> in einigen Märkten</w:t>
      </w:r>
      <w:r w:rsidRPr="0AD11E0E">
        <w:rPr>
          <w:rFonts w:ascii="Arial" w:hAnsi="Arial" w:cs="Arial"/>
          <w:sz w:val="22"/>
          <w:szCs w:val="22"/>
        </w:rPr>
        <w:t xml:space="preserve"> zudem</w:t>
      </w:r>
      <w:r w:rsidR="647101B0" w:rsidRPr="0AD11E0E">
        <w:rPr>
          <w:rFonts w:ascii="Arial" w:hAnsi="Arial" w:cs="Arial"/>
          <w:sz w:val="22"/>
          <w:szCs w:val="22"/>
        </w:rPr>
        <w:t xml:space="preserve"> systemgestützt und automatisch</w:t>
      </w:r>
      <w:r w:rsidR="002A4C61">
        <w:rPr>
          <w:rFonts w:ascii="Arial" w:hAnsi="Arial" w:cs="Arial"/>
          <w:sz w:val="22"/>
          <w:szCs w:val="22"/>
        </w:rPr>
        <w:t>,</w:t>
      </w:r>
      <w:r w:rsidRPr="0AD11E0E">
        <w:rPr>
          <w:rFonts w:ascii="Arial" w:hAnsi="Arial" w:cs="Arial"/>
          <w:sz w:val="22"/>
          <w:szCs w:val="22"/>
        </w:rPr>
        <w:t xml:space="preserve"> vorab sowie am Liefertag selbst</w:t>
      </w:r>
      <w:r w:rsidR="002A4C61">
        <w:rPr>
          <w:rFonts w:ascii="Arial" w:hAnsi="Arial" w:cs="Arial"/>
          <w:sz w:val="22"/>
          <w:szCs w:val="22"/>
        </w:rPr>
        <w:t>,</w:t>
      </w:r>
      <w:r w:rsidRPr="0AD11E0E">
        <w:rPr>
          <w:rFonts w:ascii="Arial" w:hAnsi="Arial" w:cs="Arial"/>
          <w:sz w:val="22"/>
          <w:szCs w:val="22"/>
        </w:rPr>
        <w:t xml:space="preserve"> über den Lieferstatus und die geplante Zustellzeit </w:t>
      </w:r>
      <w:r w:rsidRPr="44951326">
        <w:rPr>
          <w:rFonts w:ascii="Arial" w:hAnsi="Arial" w:cs="Arial"/>
          <w:sz w:val="22"/>
          <w:szCs w:val="22"/>
        </w:rPr>
        <w:t>ihre</w:t>
      </w:r>
      <w:r w:rsidR="648098E1" w:rsidRPr="44951326">
        <w:rPr>
          <w:rFonts w:ascii="Arial" w:hAnsi="Arial" w:cs="Arial"/>
          <w:sz w:val="22"/>
          <w:szCs w:val="22"/>
        </w:rPr>
        <w:t>s Auftrags</w:t>
      </w:r>
      <w:r w:rsidRPr="0AD11E0E">
        <w:rPr>
          <w:rFonts w:ascii="Arial" w:hAnsi="Arial" w:cs="Arial"/>
          <w:sz w:val="22"/>
          <w:szCs w:val="22"/>
        </w:rPr>
        <w:t xml:space="preserve">. Dies ist nicht nur äusserst kundenfreundlich, sondern bringt auch klare Vorteile für die Umwelt, da die Zustellung fast immer bereits beim ersten Mal </w:t>
      </w:r>
      <w:r w:rsidRPr="00F8421E">
        <w:rPr>
          <w:rFonts w:ascii="Arial" w:hAnsi="Arial" w:cs="Arial"/>
          <w:sz w:val="22"/>
          <w:szCs w:val="22"/>
        </w:rPr>
        <w:t>erfolgreich ist und weitere Zustellversuche entfallen.</w:t>
      </w:r>
    </w:p>
    <w:p w14:paraId="667A50A1" w14:textId="38A51CBF" w:rsidR="0056252F" w:rsidRPr="00427D63" w:rsidRDefault="003211A7" w:rsidP="00D40E12">
      <w:pPr>
        <w:spacing w:after="240"/>
        <w:rPr>
          <w:rFonts w:ascii="Arial" w:hAnsi="Arial" w:cs="Arial"/>
          <w:sz w:val="22"/>
          <w:szCs w:val="22"/>
        </w:rPr>
      </w:pPr>
      <w:r w:rsidRPr="00F8421E">
        <w:rPr>
          <w:rFonts w:ascii="Arial" w:hAnsi="Arial" w:cs="Arial"/>
          <w:sz w:val="22"/>
          <w:szCs w:val="22"/>
        </w:rPr>
        <w:t xml:space="preserve">Jörg </w:t>
      </w:r>
      <w:r w:rsidR="005A1552" w:rsidRPr="00F8421E">
        <w:rPr>
          <w:rFonts w:ascii="Arial" w:hAnsi="Arial" w:cs="Arial"/>
          <w:sz w:val="22"/>
          <w:szCs w:val="22"/>
        </w:rPr>
        <w:t xml:space="preserve">Holderegger, </w:t>
      </w:r>
      <w:proofErr w:type="spellStart"/>
      <w:r w:rsidR="00E1358E" w:rsidRPr="00F8421E">
        <w:rPr>
          <w:rFonts w:ascii="Arial" w:hAnsi="Arial" w:cs="Arial"/>
          <w:sz w:val="22"/>
          <w:szCs w:val="22"/>
        </w:rPr>
        <w:t>Director</w:t>
      </w:r>
      <w:proofErr w:type="spellEnd"/>
      <w:r w:rsidR="00E1358E" w:rsidRPr="00F8421E">
        <w:rPr>
          <w:rFonts w:ascii="Arial" w:hAnsi="Arial" w:cs="Arial"/>
          <w:sz w:val="22"/>
          <w:szCs w:val="22"/>
        </w:rPr>
        <w:t xml:space="preserve"> </w:t>
      </w:r>
      <w:proofErr w:type="spellStart"/>
      <w:r w:rsidR="00E1358E" w:rsidRPr="00F8421E">
        <w:rPr>
          <w:rFonts w:ascii="Arial" w:hAnsi="Arial" w:cs="Arial"/>
          <w:sz w:val="22"/>
          <w:szCs w:val="22"/>
        </w:rPr>
        <w:t>Logistics</w:t>
      </w:r>
      <w:proofErr w:type="spellEnd"/>
      <w:r w:rsidR="00E1358E" w:rsidRPr="00F8421E">
        <w:rPr>
          <w:rFonts w:ascii="Arial" w:hAnsi="Arial" w:cs="Arial"/>
          <w:sz w:val="22"/>
          <w:szCs w:val="22"/>
        </w:rPr>
        <w:t xml:space="preserve"> Bauwerk Group</w:t>
      </w:r>
      <w:r w:rsidR="005A1552" w:rsidRPr="00F8421E">
        <w:rPr>
          <w:rFonts w:ascii="Arial" w:hAnsi="Arial" w:cs="Arial"/>
          <w:sz w:val="22"/>
          <w:szCs w:val="22"/>
        </w:rPr>
        <w:t xml:space="preserve"> und Projektleiter</w:t>
      </w:r>
      <w:r w:rsidR="00E1358E" w:rsidRPr="00F8421E">
        <w:rPr>
          <w:rFonts w:ascii="Arial" w:hAnsi="Arial" w:cs="Arial"/>
          <w:sz w:val="22"/>
          <w:szCs w:val="22"/>
        </w:rPr>
        <w:t>,</w:t>
      </w:r>
      <w:r w:rsidR="005A1552" w:rsidRPr="00F8421E">
        <w:rPr>
          <w:rFonts w:ascii="Arial" w:hAnsi="Arial" w:cs="Arial"/>
          <w:sz w:val="22"/>
          <w:szCs w:val="22"/>
        </w:rPr>
        <w:t xml:space="preserve"> zieht eine erste positive Bilanz: «</w:t>
      </w:r>
      <w:r w:rsidR="0056252F" w:rsidRPr="00F8421E">
        <w:rPr>
          <w:rFonts w:ascii="Arial" w:hAnsi="Arial" w:cs="Arial"/>
          <w:sz w:val="22"/>
          <w:szCs w:val="22"/>
        </w:rPr>
        <w:t xml:space="preserve">Wir sind </w:t>
      </w:r>
      <w:r w:rsidR="005A1552" w:rsidRPr="00F8421E">
        <w:rPr>
          <w:rFonts w:ascii="Arial" w:hAnsi="Arial" w:cs="Arial"/>
          <w:sz w:val="22"/>
          <w:szCs w:val="22"/>
        </w:rPr>
        <w:t>mehr als</w:t>
      </w:r>
      <w:r w:rsidR="0056252F" w:rsidRPr="00F8421E">
        <w:rPr>
          <w:rFonts w:ascii="Arial" w:hAnsi="Arial" w:cs="Arial"/>
          <w:sz w:val="22"/>
          <w:szCs w:val="22"/>
        </w:rPr>
        <w:t xml:space="preserve"> zufrieden mit dem bisherigen Verlauf dieser umfangreichen</w:t>
      </w:r>
      <w:r w:rsidR="00B875EC" w:rsidRPr="00F8421E">
        <w:rPr>
          <w:rFonts w:ascii="Arial" w:hAnsi="Arial" w:cs="Arial"/>
          <w:sz w:val="22"/>
          <w:szCs w:val="22"/>
        </w:rPr>
        <w:t>, strategischen</w:t>
      </w:r>
      <w:r w:rsidR="0056252F" w:rsidRPr="00F8421E">
        <w:rPr>
          <w:rFonts w:ascii="Arial" w:hAnsi="Arial" w:cs="Arial"/>
          <w:sz w:val="22"/>
          <w:szCs w:val="22"/>
        </w:rPr>
        <w:t xml:space="preserve"> Umstellung. Der </w:t>
      </w:r>
      <w:r w:rsidR="0CC930FB" w:rsidRPr="009358A5">
        <w:rPr>
          <w:rFonts w:ascii="Arial" w:hAnsi="Arial" w:cs="Arial"/>
          <w:sz w:val="22"/>
          <w:szCs w:val="22"/>
        </w:rPr>
        <w:t>sehr gute Start in der Übergangsphase</w:t>
      </w:r>
      <w:r w:rsidR="0056252F" w:rsidRPr="00F8421E">
        <w:rPr>
          <w:rFonts w:ascii="Arial" w:hAnsi="Arial" w:cs="Arial"/>
          <w:sz w:val="22"/>
          <w:szCs w:val="22"/>
        </w:rPr>
        <w:t xml:space="preserve"> ist das Ergebnis sorgfältiger Planung</w:t>
      </w:r>
      <w:r w:rsidR="00342B15" w:rsidRPr="00F8421E">
        <w:rPr>
          <w:rFonts w:ascii="Arial" w:hAnsi="Arial" w:cs="Arial"/>
          <w:sz w:val="22"/>
          <w:szCs w:val="22"/>
        </w:rPr>
        <w:t xml:space="preserve"> und echter Teamarbeit</w:t>
      </w:r>
      <w:r w:rsidR="0056252F" w:rsidRPr="00F8421E">
        <w:rPr>
          <w:rFonts w:ascii="Arial" w:hAnsi="Arial" w:cs="Arial"/>
          <w:sz w:val="22"/>
          <w:szCs w:val="22"/>
        </w:rPr>
        <w:t>.</w:t>
      </w:r>
      <w:r w:rsidR="00230699" w:rsidRPr="00F8421E">
        <w:rPr>
          <w:rFonts w:ascii="Arial" w:hAnsi="Arial" w:cs="Arial"/>
          <w:sz w:val="22"/>
          <w:szCs w:val="22"/>
        </w:rPr>
        <w:t>»</w:t>
      </w:r>
    </w:p>
    <w:p w14:paraId="2CD191F2" w14:textId="662E4483" w:rsidR="00D40E12" w:rsidRPr="00427D63" w:rsidRDefault="00D40E12" w:rsidP="00D40E12">
      <w:pPr>
        <w:spacing w:after="240"/>
        <w:rPr>
          <w:rFonts w:ascii="Arial" w:hAnsi="Arial" w:cs="Arial"/>
          <w:sz w:val="22"/>
          <w:szCs w:val="22"/>
        </w:rPr>
      </w:pPr>
      <w:r w:rsidRPr="0AD11E0E">
        <w:rPr>
          <w:rFonts w:ascii="Arial" w:hAnsi="Arial" w:cs="Arial"/>
          <w:sz w:val="22"/>
          <w:szCs w:val="22"/>
        </w:rPr>
        <w:t xml:space="preserve">Mit der Zusammenführung der Lagerstandorte und der strategischen Zusammenarbeit mit </w:t>
      </w:r>
      <w:proofErr w:type="spellStart"/>
      <w:r w:rsidRPr="0AD11E0E">
        <w:rPr>
          <w:rFonts w:ascii="Arial" w:hAnsi="Arial" w:cs="Arial"/>
          <w:sz w:val="22"/>
          <w:szCs w:val="22"/>
        </w:rPr>
        <w:t>Noerpel</w:t>
      </w:r>
      <w:proofErr w:type="spellEnd"/>
      <w:r w:rsidRPr="0AD11E0E">
        <w:rPr>
          <w:rFonts w:ascii="Arial" w:hAnsi="Arial" w:cs="Arial"/>
          <w:sz w:val="22"/>
          <w:szCs w:val="22"/>
        </w:rPr>
        <w:t xml:space="preserve"> SE </w:t>
      </w:r>
      <w:r w:rsidR="00690CF3" w:rsidRPr="0AD11E0E">
        <w:rPr>
          <w:rFonts w:ascii="Arial" w:hAnsi="Arial" w:cs="Arial"/>
          <w:sz w:val="22"/>
          <w:szCs w:val="22"/>
        </w:rPr>
        <w:t xml:space="preserve">in Deutschland </w:t>
      </w:r>
      <w:r w:rsidRPr="0AD11E0E">
        <w:rPr>
          <w:rFonts w:ascii="Arial" w:hAnsi="Arial" w:cs="Arial"/>
          <w:sz w:val="22"/>
          <w:szCs w:val="22"/>
        </w:rPr>
        <w:t xml:space="preserve">und Camion Transport AG </w:t>
      </w:r>
      <w:r w:rsidR="00690CF3" w:rsidRPr="0AD11E0E">
        <w:rPr>
          <w:rFonts w:ascii="Arial" w:hAnsi="Arial" w:cs="Arial"/>
          <w:sz w:val="22"/>
          <w:szCs w:val="22"/>
        </w:rPr>
        <w:t xml:space="preserve">in der Schweiz </w:t>
      </w:r>
      <w:r w:rsidRPr="0AD11E0E">
        <w:rPr>
          <w:rFonts w:ascii="Arial" w:hAnsi="Arial" w:cs="Arial"/>
          <w:sz w:val="22"/>
          <w:szCs w:val="22"/>
        </w:rPr>
        <w:t xml:space="preserve">optimiert die Bauwerk Group ihre Logistik, um Kundenbedürfnisse </w:t>
      </w:r>
      <w:r w:rsidR="7ABCD66D" w:rsidRPr="0AD11E0E">
        <w:rPr>
          <w:rFonts w:ascii="Arial" w:hAnsi="Arial" w:cs="Arial"/>
          <w:sz w:val="22"/>
          <w:szCs w:val="22"/>
        </w:rPr>
        <w:t xml:space="preserve">noch besser </w:t>
      </w:r>
      <w:r w:rsidRPr="0AD11E0E">
        <w:rPr>
          <w:rFonts w:ascii="Arial" w:hAnsi="Arial" w:cs="Arial"/>
          <w:sz w:val="22"/>
          <w:szCs w:val="22"/>
        </w:rPr>
        <w:t xml:space="preserve">und gleichzeitig umweltschonender zu bedienen. «Dies ist ein </w:t>
      </w:r>
      <w:r w:rsidR="0081497F">
        <w:rPr>
          <w:rFonts w:ascii="Arial" w:hAnsi="Arial" w:cs="Arial"/>
          <w:sz w:val="22"/>
          <w:szCs w:val="22"/>
        </w:rPr>
        <w:t>zusätzlicher</w:t>
      </w:r>
      <w:r w:rsidR="0081497F" w:rsidRPr="0AD11E0E" w:rsidDel="00D40E12">
        <w:rPr>
          <w:rFonts w:ascii="Arial" w:hAnsi="Arial" w:cs="Arial"/>
          <w:sz w:val="22"/>
          <w:szCs w:val="22"/>
        </w:rPr>
        <w:t xml:space="preserve"> </w:t>
      </w:r>
      <w:r w:rsidR="5AD934B6" w:rsidRPr="0AD11E0E">
        <w:rPr>
          <w:rFonts w:ascii="Arial" w:hAnsi="Arial" w:cs="Arial"/>
          <w:sz w:val="22"/>
          <w:szCs w:val="22"/>
        </w:rPr>
        <w:t xml:space="preserve">wichtiger </w:t>
      </w:r>
      <w:r w:rsidRPr="0AD11E0E">
        <w:rPr>
          <w:rFonts w:ascii="Arial" w:hAnsi="Arial" w:cs="Arial"/>
          <w:sz w:val="22"/>
          <w:szCs w:val="22"/>
        </w:rPr>
        <w:t xml:space="preserve">Schritt, unsere Prozesse </w:t>
      </w:r>
      <w:r w:rsidR="429993AA" w:rsidRPr="0AD11E0E">
        <w:rPr>
          <w:rFonts w:ascii="Arial" w:hAnsi="Arial" w:cs="Arial"/>
          <w:sz w:val="22"/>
          <w:szCs w:val="22"/>
        </w:rPr>
        <w:t>effizienter</w:t>
      </w:r>
      <w:r w:rsidRPr="0AD11E0E">
        <w:rPr>
          <w:rFonts w:ascii="Arial" w:hAnsi="Arial" w:cs="Arial"/>
          <w:sz w:val="22"/>
          <w:szCs w:val="22"/>
        </w:rPr>
        <w:t xml:space="preserve">, transparenter und nachhaltiger zu gestalten und </w:t>
      </w:r>
      <w:r w:rsidR="3BFA4D77" w:rsidRPr="0AD11E0E">
        <w:rPr>
          <w:rFonts w:ascii="Arial" w:hAnsi="Arial" w:cs="Arial"/>
          <w:sz w:val="22"/>
          <w:szCs w:val="22"/>
        </w:rPr>
        <w:t>ein</w:t>
      </w:r>
      <w:r w:rsidR="6D9504DE" w:rsidRPr="0AD11E0E">
        <w:rPr>
          <w:rFonts w:ascii="Arial" w:hAnsi="Arial" w:cs="Arial"/>
          <w:sz w:val="22"/>
          <w:szCs w:val="22"/>
        </w:rPr>
        <w:t>en</w:t>
      </w:r>
      <w:r w:rsidR="3BFA4D77" w:rsidRPr="0AD11E0E">
        <w:rPr>
          <w:rFonts w:ascii="Arial" w:hAnsi="Arial" w:cs="Arial"/>
          <w:sz w:val="22"/>
          <w:szCs w:val="22"/>
        </w:rPr>
        <w:t xml:space="preserve"> weitere</w:t>
      </w:r>
      <w:r w:rsidR="7CE0329F" w:rsidRPr="0AD11E0E">
        <w:rPr>
          <w:rFonts w:ascii="Arial" w:hAnsi="Arial" w:cs="Arial"/>
          <w:sz w:val="22"/>
          <w:szCs w:val="22"/>
        </w:rPr>
        <w:t>n</w:t>
      </w:r>
      <w:r w:rsidR="3BFA4D77" w:rsidRPr="0AD11E0E">
        <w:rPr>
          <w:rFonts w:ascii="Arial" w:hAnsi="Arial" w:cs="Arial"/>
          <w:sz w:val="22"/>
          <w:szCs w:val="22"/>
        </w:rPr>
        <w:t xml:space="preserve"> </w:t>
      </w:r>
      <w:r w:rsidRPr="0AD11E0E">
        <w:rPr>
          <w:rFonts w:ascii="Arial" w:hAnsi="Arial" w:cs="Arial"/>
          <w:sz w:val="22"/>
          <w:szCs w:val="22"/>
        </w:rPr>
        <w:t>Beitrag zu einer umweltfreundlicheren Zukunft zu leisten», resümiert Michael Rankl, Chief Operational Officer der Bauwerk Group.</w:t>
      </w:r>
    </w:p>
    <w:p w14:paraId="3515129F" w14:textId="6B5F2AD5" w:rsidR="008D4D99" w:rsidRPr="00427D63" w:rsidRDefault="008D4D99" w:rsidP="00D40E12">
      <w:pPr>
        <w:spacing w:after="240"/>
        <w:rPr>
          <w:rFonts w:ascii="Arial" w:hAnsi="Arial" w:cs="Arial"/>
          <w:sz w:val="22"/>
          <w:szCs w:val="22"/>
        </w:rPr>
      </w:pPr>
      <w:r w:rsidRPr="00427D63">
        <w:rPr>
          <w:rFonts w:ascii="Arial" w:hAnsi="Arial" w:cs="Arial"/>
          <w:sz w:val="22"/>
          <w:szCs w:val="22"/>
        </w:rPr>
        <w:t xml:space="preserve">St. Margrethen, im </w:t>
      </w:r>
      <w:r w:rsidR="00304601">
        <w:rPr>
          <w:rFonts w:ascii="Arial" w:hAnsi="Arial" w:cs="Arial"/>
          <w:sz w:val="22"/>
          <w:szCs w:val="22"/>
        </w:rPr>
        <w:t>N</w:t>
      </w:r>
      <w:r w:rsidR="00B20E94">
        <w:rPr>
          <w:rFonts w:ascii="Arial" w:hAnsi="Arial" w:cs="Arial"/>
          <w:sz w:val="22"/>
          <w:szCs w:val="22"/>
        </w:rPr>
        <w:t>o</w:t>
      </w:r>
      <w:r w:rsidR="00304601">
        <w:rPr>
          <w:rFonts w:ascii="Arial" w:hAnsi="Arial" w:cs="Arial"/>
          <w:sz w:val="22"/>
          <w:szCs w:val="22"/>
        </w:rPr>
        <w:t>vember</w:t>
      </w:r>
      <w:r w:rsidR="00304601" w:rsidRPr="00427D63">
        <w:rPr>
          <w:rFonts w:ascii="Arial" w:hAnsi="Arial" w:cs="Arial"/>
          <w:sz w:val="22"/>
          <w:szCs w:val="22"/>
        </w:rPr>
        <w:t xml:space="preserve"> </w:t>
      </w:r>
      <w:r w:rsidRPr="00427D63">
        <w:rPr>
          <w:rFonts w:ascii="Arial" w:hAnsi="Arial" w:cs="Arial"/>
          <w:sz w:val="22"/>
          <w:szCs w:val="22"/>
        </w:rPr>
        <w:t>2024</w:t>
      </w:r>
      <w:r w:rsidRPr="00427D63">
        <w:rPr>
          <w:rFonts w:ascii="Arial" w:hAnsi="Arial" w:cs="Arial"/>
          <w:sz w:val="22"/>
          <w:szCs w:val="22"/>
        </w:rPr>
        <w:br/>
        <w:t>Abdruck honorarfrei / Beleg erbeten</w:t>
      </w:r>
    </w:p>
    <w:p w14:paraId="4C088D8D" w14:textId="77777777" w:rsidR="00D40E12" w:rsidRPr="00427D63" w:rsidRDefault="00D40E12" w:rsidP="00D40E12">
      <w:pPr>
        <w:spacing w:after="240"/>
        <w:rPr>
          <w:rFonts w:ascii="Arial" w:hAnsi="Arial" w:cs="Arial"/>
          <w:sz w:val="22"/>
          <w:szCs w:val="22"/>
        </w:rPr>
      </w:pPr>
    </w:p>
    <w:p w14:paraId="6092E68A" w14:textId="6D4D7A3C" w:rsidR="003874E8" w:rsidRPr="00427D63" w:rsidRDefault="007A6C19" w:rsidP="007A6C19">
      <w:pPr>
        <w:pStyle w:val="Lauftext"/>
        <w:tabs>
          <w:tab w:val="left" w:pos="1843"/>
          <w:tab w:val="left" w:pos="4111"/>
          <w:tab w:val="left" w:pos="7088"/>
        </w:tabs>
        <w:spacing w:after="0" w:line="240" w:lineRule="auto"/>
        <w:rPr>
          <w:rFonts w:ascii="Arial" w:hAnsi="Arial" w:cs="Arial"/>
          <w:sz w:val="24"/>
          <w:szCs w:val="24"/>
        </w:rPr>
      </w:pPr>
      <w:r w:rsidRPr="00427D63">
        <w:rPr>
          <w:rFonts w:ascii="Arial" w:hAnsi="Arial" w:cs="Arial"/>
          <w:b/>
          <w:sz w:val="22"/>
          <w:szCs w:val="24"/>
        </w:rPr>
        <w:t>Für Presseanfragen wenden Sie sich bitte an:</w:t>
      </w:r>
      <w:r w:rsidRPr="00427D63">
        <w:rPr>
          <w:rFonts w:ascii="Arial" w:hAnsi="Arial" w:cs="Arial"/>
          <w:sz w:val="22"/>
          <w:szCs w:val="24"/>
        </w:rPr>
        <w:br/>
        <w:t>Rainer Häupl</w:t>
      </w:r>
      <w:r w:rsidRPr="00427D63">
        <w:rPr>
          <w:rFonts w:ascii="Arial" w:hAnsi="Arial" w:cs="Arial"/>
          <w:sz w:val="22"/>
          <w:szCs w:val="24"/>
        </w:rPr>
        <w:br/>
        <w:t>bering*kopal GbR, Büro für Kommunikation</w:t>
      </w:r>
      <w:r w:rsidRPr="00427D63">
        <w:rPr>
          <w:rFonts w:ascii="Arial" w:hAnsi="Arial" w:cs="Arial"/>
          <w:sz w:val="22"/>
          <w:szCs w:val="24"/>
        </w:rPr>
        <w:br/>
        <w:t>T + 49 (0) 711 74 51 759-16</w:t>
      </w:r>
      <w:r w:rsidRPr="00427D63">
        <w:rPr>
          <w:rFonts w:ascii="Arial" w:hAnsi="Arial" w:cs="Arial"/>
          <w:sz w:val="22"/>
          <w:szCs w:val="24"/>
        </w:rPr>
        <w:br/>
        <w:t>rainer.haeupl@bering-kopal.de</w:t>
      </w:r>
      <w:r w:rsidRPr="00427D63">
        <w:rPr>
          <w:rFonts w:ascii="Arial" w:hAnsi="Arial" w:cs="Arial"/>
          <w:sz w:val="22"/>
          <w:szCs w:val="24"/>
        </w:rPr>
        <w:br/>
        <w:t>www.bering-kopal.de</w:t>
      </w:r>
    </w:p>
    <w:p w14:paraId="510026DC" w14:textId="3CFB12C2" w:rsidR="00F755C1" w:rsidRPr="00427D63" w:rsidRDefault="00F755C1" w:rsidP="001817FD">
      <w:pPr>
        <w:rPr>
          <w:rFonts w:ascii="Arial" w:hAnsi="Arial" w:cs="Arial"/>
          <w:sz w:val="22"/>
          <w:szCs w:val="22"/>
        </w:rPr>
      </w:pPr>
    </w:p>
    <w:p w14:paraId="2515393D" w14:textId="77777777" w:rsidR="001817FD" w:rsidRPr="00427D63" w:rsidRDefault="001817FD" w:rsidP="001817FD">
      <w:pPr>
        <w:rPr>
          <w:rFonts w:ascii="Arial" w:hAnsi="Arial" w:cs="Arial"/>
          <w:sz w:val="22"/>
          <w:szCs w:val="22"/>
        </w:rPr>
      </w:pPr>
    </w:p>
    <w:p w14:paraId="06C2D8B8" w14:textId="2ACA263D" w:rsidR="00577C40" w:rsidRPr="00427D63" w:rsidRDefault="00F755C1" w:rsidP="00577C40">
      <w:pPr>
        <w:spacing w:line="264" w:lineRule="auto"/>
        <w:rPr>
          <w:rFonts w:ascii="Arial" w:hAnsi="Arial" w:cs="Arial"/>
          <w:sz w:val="18"/>
          <w:szCs w:val="18"/>
        </w:rPr>
      </w:pPr>
      <w:r w:rsidRPr="00427D63">
        <w:rPr>
          <w:rFonts w:ascii="Arial" w:hAnsi="Arial" w:cs="Arial"/>
          <w:b/>
          <w:sz w:val="18"/>
          <w:szCs w:val="18"/>
        </w:rPr>
        <w:t>1</w:t>
      </w:r>
      <w:r w:rsidRPr="00427D63">
        <w:rPr>
          <w:rFonts w:ascii="Arial" w:hAnsi="Arial" w:cs="Arial"/>
          <w:sz w:val="18"/>
          <w:szCs w:val="18"/>
        </w:rPr>
        <w:t xml:space="preserve"> </w:t>
      </w:r>
      <w:r w:rsidR="005E3718" w:rsidRPr="00427D63">
        <w:rPr>
          <w:rFonts w:ascii="Arial" w:hAnsi="Arial" w:cs="Arial"/>
          <w:sz w:val="18"/>
          <w:szCs w:val="18"/>
        </w:rPr>
        <w:t xml:space="preserve">Das moderne Logistikkonzept der Bauwerk Group kombiniert </w:t>
      </w:r>
      <w:r w:rsidR="20369980" w:rsidRPr="44951326">
        <w:rPr>
          <w:rFonts w:ascii="Arial" w:hAnsi="Arial" w:cs="Arial"/>
          <w:sz w:val="18"/>
          <w:szCs w:val="18"/>
        </w:rPr>
        <w:t xml:space="preserve">Effizienz, </w:t>
      </w:r>
      <w:r w:rsidR="005E3718" w:rsidRPr="00427D63">
        <w:rPr>
          <w:rFonts w:ascii="Arial" w:hAnsi="Arial" w:cs="Arial"/>
          <w:sz w:val="18"/>
          <w:szCs w:val="18"/>
        </w:rPr>
        <w:t xml:space="preserve">Transparenz, schnelle Lieferzeiten </w:t>
      </w:r>
      <w:r w:rsidR="34431B37" w:rsidRPr="44951326">
        <w:rPr>
          <w:rFonts w:ascii="Arial" w:hAnsi="Arial" w:cs="Arial"/>
          <w:sz w:val="18"/>
          <w:szCs w:val="18"/>
        </w:rPr>
        <w:t xml:space="preserve">ab Lager </w:t>
      </w:r>
      <w:r w:rsidR="005E3718" w:rsidRPr="00427D63">
        <w:rPr>
          <w:rFonts w:ascii="Arial" w:hAnsi="Arial" w:cs="Arial"/>
          <w:sz w:val="18"/>
          <w:szCs w:val="18"/>
        </w:rPr>
        <w:t xml:space="preserve">und nachhaltige Prozesse, um Kundenwünsche effizient und umweltbewusst zu erfüllen. </w:t>
      </w:r>
    </w:p>
    <w:p w14:paraId="0618D114" w14:textId="62444565" w:rsidR="00F755C1" w:rsidRPr="00427D63" w:rsidRDefault="00F755C1" w:rsidP="00577C40">
      <w:pPr>
        <w:spacing w:line="264" w:lineRule="auto"/>
        <w:rPr>
          <w:rFonts w:ascii="Arial" w:hAnsi="Arial" w:cs="Arial"/>
          <w:sz w:val="18"/>
          <w:szCs w:val="18"/>
        </w:rPr>
      </w:pPr>
      <w:r w:rsidRPr="00427D63">
        <w:rPr>
          <w:rFonts w:ascii="Arial" w:hAnsi="Arial" w:cs="Arial"/>
          <w:sz w:val="18"/>
          <w:szCs w:val="18"/>
        </w:rPr>
        <w:t>Foto: Bauwerk Group</w:t>
      </w:r>
      <w:r w:rsidR="005E3718" w:rsidRPr="00427D63">
        <w:rPr>
          <w:rFonts w:ascii="Arial" w:hAnsi="Arial" w:cs="Arial"/>
          <w:sz w:val="18"/>
          <w:szCs w:val="18"/>
        </w:rPr>
        <w:t xml:space="preserve"> </w:t>
      </w:r>
    </w:p>
    <w:p w14:paraId="0CF38BBC" w14:textId="77777777" w:rsidR="005E3718" w:rsidRPr="00427D63" w:rsidRDefault="005E3718" w:rsidP="00577C40">
      <w:pPr>
        <w:spacing w:line="264" w:lineRule="auto"/>
        <w:rPr>
          <w:rFonts w:ascii="Arial" w:hAnsi="Arial" w:cs="Arial"/>
          <w:sz w:val="18"/>
          <w:szCs w:val="18"/>
        </w:rPr>
      </w:pPr>
    </w:p>
    <w:p w14:paraId="479EE494" w14:textId="701E8431" w:rsidR="00B30274" w:rsidRPr="00427D63" w:rsidRDefault="00F755C1" w:rsidP="00F755C1">
      <w:pPr>
        <w:rPr>
          <w:rFonts w:ascii="Arial" w:hAnsi="Arial" w:cs="Arial"/>
          <w:sz w:val="18"/>
          <w:szCs w:val="18"/>
        </w:rPr>
      </w:pPr>
      <w:r w:rsidRPr="00427D63">
        <w:rPr>
          <w:rFonts w:ascii="Arial" w:hAnsi="Arial" w:cs="Arial"/>
          <w:b/>
          <w:sz w:val="18"/>
          <w:szCs w:val="18"/>
        </w:rPr>
        <w:t>2</w:t>
      </w:r>
      <w:r w:rsidRPr="00427D63">
        <w:rPr>
          <w:rFonts w:ascii="Arial" w:hAnsi="Arial" w:cs="Arial"/>
          <w:sz w:val="18"/>
          <w:szCs w:val="18"/>
        </w:rPr>
        <w:t xml:space="preserve"> </w:t>
      </w:r>
      <w:r w:rsidR="005E3718" w:rsidRPr="00427D63">
        <w:rPr>
          <w:rFonts w:ascii="Arial" w:hAnsi="Arial" w:cs="Arial"/>
          <w:sz w:val="18"/>
          <w:szCs w:val="18"/>
        </w:rPr>
        <w:t>Die Bauwerk Group setzt in der Schweiz auf ein duales Transportsystem in Zusammenarbeit mit Camion Transport AG. Durch die Kombination von Bahn- und LKW-Transporten wird der CO</w:t>
      </w:r>
      <w:r w:rsidR="005E3718" w:rsidRPr="00427D63">
        <w:rPr>
          <w:rFonts w:ascii="Arial" w:hAnsi="Arial" w:cs="Arial"/>
          <w:sz w:val="18"/>
          <w:szCs w:val="18"/>
          <w:vertAlign w:val="subscript"/>
        </w:rPr>
        <w:t>2</w:t>
      </w:r>
      <w:r w:rsidR="005E3718" w:rsidRPr="00427D63">
        <w:rPr>
          <w:rFonts w:ascii="Arial" w:hAnsi="Arial" w:cs="Arial"/>
          <w:sz w:val="18"/>
          <w:szCs w:val="18"/>
        </w:rPr>
        <w:t>-Ausstoss um</w:t>
      </w:r>
      <w:r w:rsidR="00435FD2">
        <w:rPr>
          <w:rFonts w:ascii="Arial" w:hAnsi="Arial" w:cs="Arial"/>
          <w:sz w:val="18"/>
          <w:szCs w:val="18"/>
        </w:rPr>
        <w:t xml:space="preserve"> bis zu</w:t>
      </w:r>
      <w:r w:rsidR="005E3718" w:rsidRPr="00427D63">
        <w:rPr>
          <w:rFonts w:ascii="Arial" w:hAnsi="Arial" w:cs="Arial"/>
          <w:sz w:val="18"/>
          <w:szCs w:val="18"/>
        </w:rPr>
        <w:t xml:space="preserve"> 25 % reduziert und gleichzeitig eine hohe Lieferzuverlässigkeit gewährleistet.</w:t>
      </w:r>
    </w:p>
    <w:p w14:paraId="01199063" w14:textId="7391611E" w:rsidR="00F755C1" w:rsidRPr="00427D63" w:rsidRDefault="00B30274" w:rsidP="00F755C1">
      <w:pPr>
        <w:rPr>
          <w:rFonts w:ascii="Arial" w:hAnsi="Arial" w:cs="Arial"/>
          <w:sz w:val="18"/>
          <w:szCs w:val="18"/>
        </w:rPr>
      </w:pPr>
      <w:r w:rsidRPr="00427D63">
        <w:rPr>
          <w:rFonts w:ascii="Arial" w:hAnsi="Arial" w:cs="Arial"/>
          <w:sz w:val="18"/>
          <w:szCs w:val="18"/>
        </w:rPr>
        <w:t xml:space="preserve">Foto: </w:t>
      </w:r>
      <w:r w:rsidR="009A2483">
        <w:rPr>
          <w:rFonts w:ascii="Arial" w:hAnsi="Arial" w:cs="Arial"/>
          <w:sz w:val="18"/>
          <w:szCs w:val="18"/>
        </w:rPr>
        <w:t>Camion Transport</w:t>
      </w:r>
      <w:r w:rsidR="005E3718" w:rsidRPr="00427D63">
        <w:rPr>
          <w:rFonts w:ascii="Arial" w:hAnsi="Arial" w:cs="Arial"/>
          <w:sz w:val="18"/>
          <w:szCs w:val="18"/>
        </w:rPr>
        <w:br/>
      </w:r>
      <w:r w:rsidR="00F755C1" w:rsidRPr="00427D63">
        <w:rPr>
          <w:rFonts w:ascii="Arial" w:hAnsi="Arial" w:cs="Arial"/>
          <w:sz w:val="18"/>
          <w:szCs w:val="18"/>
        </w:rPr>
        <w:br/>
      </w:r>
      <w:r w:rsidR="00B437DF" w:rsidRPr="009358A5">
        <w:rPr>
          <w:rFonts w:ascii="Arial" w:hAnsi="Arial" w:cs="Arial"/>
          <w:b/>
          <w:sz w:val="18"/>
          <w:szCs w:val="18"/>
        </w:rPr>
        <w:t xml:space="preserve">3 </w:t>
      </w:r>
      <w:r w:rsidR="00B437DF" w:rsidRPr="00B437DF">
        <w:rPr>
          <w:rFonts w:ascii="Arial" w:hAnsi="Arial" w:cs="Arial"/>
          <w:sz w:val="18"/>
          <w:szCs w:val="18"/>
        </w:rPr>
        <w:t xml:space="preserve">Das Lager- und Distributionszentrum </w:t>
      </w:r>
      <w:r w:rsidR="00B437DF">
        <w:rPr>
          <w:rFonts w:ascii="Arial" w:hAnsi="Arial" w:cs="Arial"/>
          <w:sz w:val="18"/>
          <w:szCs w:val="18"/>
        </w:rPr>
        <w:t xml:space="preserve">von </w:t>
      </w:r>
      <w:proofErr w:type="spellStart"/>
      <w:r w:rsidR="00B437DF">
        <w:rPr>
          <w:rFonts w:ascii="Arial" w:hAnsi="Arial" w:cs="Arial"/>
          <w:sz w:val="18"/>
          <w:szCs w:val="18"/>
        </w:rPr>
        <w:t>Noerpel</w:t>
      </w:r>
      <w:proofErr w:type="spellEnd"/>
      <w:r w:rsidR="00B437DF">
        <w:rPr>
          <w:rFonts w:ascii="Arial" w:hAnsi="Arial" w:cs="Arial"/>
          <w:sz w:val="18"/>
          <w:szCs w:val="18"/>
        </w:rPr>
        <w:t xml:space="preserve"> in Ravensburg </w:t>
      </w:r>
      <w:r w:rsidR="00B437DF" w:rsidRPr="00B437DF">
        <w:rPr>
          <w:rFonts w:ascii="Arial" w:hAnsi="Arial" w:cs="Arial"/>
          <w:sz w:val="18"/>
          <w:szCs w:val="18"/>
        </w:rPr>
        <w:t xml:space="preserve">wird </w:t>
      </w:r>
      <w:r w:rsidR="00B437DF">
        <w:rPr>
          <w:rFonts w:ascii="Arial" w:hAnsi="Arial" w:cs="Arial"/>
          <w:sz w:val="18"/>
          <w:szCs w:val="18"/>
        </w:rPr>
        <w:t xml:space="preserve">für die Bauwerk Group </w:t>
      </w:r>
      <w:r w:rsidR="00B437DF" w:rsidRPr="00B437DF">
        <w:rPr>
          <w:rFonts w:ascii="Arial" w:hAnsi="Arial" w:cs="Arial"/>
          <w:sz w:val="18"/>
          <w:szCs w:val="18"/>
        </w:rPr>
        <w:t>zur Drehscheibe für den Warenverkehr in den zentraleuropäischen Märkten, und ermöglicht in Summe eine effizientere und schnellere Produktauslieferung.</w:t>
      </w:r>
      <w:r w:rsidR="00B437DF">
        <w:rPr>
          <w:rFonts w:ascii="Arial" w:hAnsi="Arial" w:cs="Arial"/>
          <w:sz w:val="18"/>
          <w:szCs w:val="18"/>
        </w:rPr>
        <w:t xml:space="preserve"> Foto: </w:t>
      </w:r>
      <w:proofErr w:type="spellStart"/>
      <w:r w:rsidR="00B437DF">
        <w:rPr>
          <w:rFonts w:ascii="Arial" w:hAnsi="Arial" w:cs="Arial"/>
          <w:sz w:val="18"/>
          <w:szCs w:val="18"/>
        </w:rPr>
        <w:t>Noerpel</w:t>
      </w:r>
      <w:proofErr w:type="spellEnd"/>
    </w:p>
    <w:p w14:paraId="34417378" w14:textId="202DDA51" w:rsidR="00F755C1" w:rsidRPr="00427D63" w:rsidRDefault="00F755C1" w:rsidP="00F755C1">
      <w:pPr>
        <w:rPr>
          <w:rFonts w:ascii="Arial" w:hAnsi="Arial" w:cs="Arial"/>
          <w:sz w:val="18"/>
          <w:szCs w:val="18"/>
        </w:rPr>
      </w:pPr>
      <w:r w:rsidRPr="00427D63">
        <w:rPr>
          <w:sz w:val="17"/>
          <w:szCs w:val="17"/>
        </w:rPr>
        <w:br/>
      </w:r>
    </w:p>
    <w:tbl>
      <w:tblPr>
        <w:tblStyle w:val="TabelleEinfach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2"/>
        <w:gridCol w:w="203"/>
        <w:gridCol w:w="4431"/>
      </w:tblGrid>
      <w:tr w:rsidR="00F755C1" w:rsidRPr="00427D63" w14:paraId="67D21128" w14:textId="77777777" w:rsidTr="00577C40">
        <w:tc>
          <w:tcPr>
            <w:tcW w:w="2444" w:type="pct"/>
            <w:shd w:val="clear" w:color="auto" w:fill="auto"/>
            <w:tcMar>
              <w:top w:w="0" w:type="dxa"/>
              <w:left w:w="0" w:type="dxa"/>
              <w:bottom w:w="0" w:type="dxa"/>
              <w:right w:w="0" w:type="dxa"/>
            </w:tcMar>
          </w:tcPr>
          <w:p w14:paraId="4DF79C35" w14:textId="77777777" w:rsidR="00F755C1" w:rsidRPr="00427D63" w:rsidRDefault="00F755C1" w:rsidP="002F456A">
            <w:pPr>
              <w:keepNext/>
              <w:keepLines/>
              <w:spacing w:line="240" w:lineRule="auto"/>
              <w:rPr>
                <w:sz w:val="14"/>
                <w:szCs w:val="14"/>
                <w:lang w:val="de-CH"/>
              </w:rPr>
            </w:pPr>
            <w:r w:rsidRPr="00427D63">
              <w:rPr>
                <w:sz w:val="14"/>
                <w:szCs w:val="14"/>
                <w:lang w:val="de-CH"/>
              </w:rPr>
              <w:t>1.</w:t>
            </w:r>
          </w:p>
        </w:tc>
        <w:tc>
          <w:tcPr>
            <w:tcW w:w="112" w:type="pct"/>
            <w:shd w:val="clear" w:color="auto" w:fill="auto"/>
            <w:tcMar>
              <w:top w:w="0" w:type="dxa"/>
              <w:left w:w="0" w:type="dxa"/>
              <w:bottom w:w="0" w:type="dxa"/>
              <w:right w:w="0" w:type="dxa"/>
            </w:tcMar>
          </w:tcPr>
          <w:p w14:paraId="2F308063" w14:textId="77777777" w:rsidR="00F755C1" w:rsidRPr="00427D63"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72BA155A" w14:textId="77777777" w:rsidR="00F755C1" w:rsidRPr="00427D63" w:rsidRDefault="00F755C1" w:rsidP="002F456A">
            <w:pPr>
              <w:keepNext/>
              <w:keepLines/>
              <w:spacing w:line="240" w:lineRule="auto"/>
              <w:rPr>
                <w:sz w:val="14"/>
                <w:szCs w:val="14"/>
                <w:lang w:val="de-CH"/>
              </w:rPr>
            </w:pPr>
            <w:r w:rsidRPr="00427D63">
              <w:rPr>
                <w:sz w:val="14"/>
                <w:szCs w:val="14"/>
                <w:lang w:val="de-CH"/>
              </w:rPr>
              <w:t>2.</w:t>
            </w:r>
          </w:p>
        </w:tc>
      </w:tr>
      <w:tr w:rsidR="00F755C1" w:rsidRPr="00427D63" w14:paraId="49239872" w14:textId="77777777" w:rsidTr="00577C40">
        <w:trPr>
          <w:trHeight w:hRule="exact" w:val="3175"/>
        </w:trPr>
        <w:tc>
          <w:tcPr>
            <w:tcW w:w="2444" w:type="pct"/>
            <w:shd w:val="clear" w:color="auto" w:fill="auto"/>
            <w:tcMar>
              <w:top w:w="0" w:type="dxa"/>
              <w:left w:w="0" w:type="dxa"/>
              <w:bottom w:w="0" w:type="dxa"/>
              <w:right w:w="0" w:type="dxa"/>
            </w:tcMar>
          </w:tcPr>
          <w:p w14:paraId="00E9284B" w14:textId="7D13AF77" w:rsidR="00F755C1" w:rsidRPr="00427D63" w:rsidRDefault="00D40E12" w:rsidP="002F456A">
            <w:pPr>
              <w:keepNext/>
              <w:keepLines/>
              <w:spacing w:line="240" w:lineRule="auto"/>
              <w:rPr>
                <w:sz w:val="14"/>
                <w:szCs w:val="14"/>
                <w:lang w:val="de-CH"/>
              </w:rPr>
            </w:pPr>
            <w:r w:rsidRPr="00427D63">
              <w:rPr>
                <w:noProof/>
                <w:sz w:val="14"/>
                <w:szCs w:val="14"/>
              </w:rPr>
              <w:drawing>
                <wp:inline distT="0" distB="0" distL="0" distR="0" wp14:anchorId="773F638F" wp14:editId="20D51D8F">
                  <wp:extent cx="1953106" cy="1464945"/>
                  <wp:effectExtent l="0" t="0" r="3175" b="0"/>
                  <wp:docPr id="140609092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090921" name="Grafik 14060909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5800" cy="1481967"/>
                          </a:xfrm>
                          <a:prstGeom prst="rect">
                            <a:avLst/>
                          </a:prstGeom>
                        </pic:spPr>
                      </pic:pic>
                    </a:graphicData>
                  </a:graphic>
                </wp:inline>
              </w:drawing>
            </w:r>
          </w:p>
        </w:tc>
        <w:tc>
          <w:tcPr>
            <w:tcW w:w="112" w:type="pct"/>
            <w:shd w:val="clear" w:color="auto" w:fill="auto"/>
            <w:tcMar>
              <w:top w:w="0" w:type="dxa"/>
              <w:left w:w="0" w:type="dxa"/>
              <w:bottom w:w="0" w:type="dxa"/>
              <w:right w:w="0" w:type="dxa"/>
            </w:tcMar>
          </w:tcPr>
          <w:p w14:paraId="0BBB62EC" w14:textId="77777777" w:rsidR="00F755C1" w:rsidRPr="00427D63"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2ECEA884" w14:textId="3AF541B3" w:rsidR="00F755C1" w:rsidRPr="00427D63" w:rsidRDefault="00D40E12" w:rsidP="002F456A">
            <w:pPr>
              <w:keepNext/>
              <w:keepLines/>
              <w:spacing w:line="240" w:lineRule="auto"/>
              <w:rPr>
                <w:sz w:val="14"/>
                <w:szCs w:val="14"/>
                <w:lang w:val="de-CH"/>
              </w:rPr>
            </w:pPr>
            <w:r w:rsidRPr="00427D63">
              <w:rPr>
                <w:noProof/>
                <w:sz w:val="14"/>
                <w:szCs w:val="14"/>
              </w:rPr>
              <w:drawing>
                <wp:inline distT="0" distB="0" distL="0" distR="0" wp14:anchorId="6DE646F1" wp14:editId="5B5D2EB1">
                  <wp:extent cx="2813685" cy="1464945"/>
                  <wp:effectExtent l="0" t="0" r="5715" b="0"/>
                  <wp:docPr id="11744744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74499" name="Grafik 11744744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3685" cy="1464945"/>
                          </a:xfrm>
                          <a:prstGeom prst="rect">
                            <a:avLst/>
                          </a:prstGeom>
                        </pic:spPr>
                      </pic:pic>
                    </a:graphicData>
                  </a:graphic>
                </wp:inline>
              </w:drawing>
            </w:r>
          </w:p>
        </w:tc>
      </w:tr>
      <w:tr w:rsidR="00F755C1" w:rsidRPr="00427D63" w14:paraId="0F58CD32" w14:textId="77777777" w:rsidTr="00577C40">
        <w:tc>
          <w:tcPr>
            <w:tcW w:w="2444" w:type="pct"/>
            <w:shd w:val="clear" w:color="auto" w:fill="auto"/>
            <w:tcMar>
              <w:top w:w="0" w:type="dxa"/>
              <w:left w:w="0" w:type="dxa"/>
              <w:bottom w:w="0" w:type="dxa"/>
              <w:right w:w="0" w:type="dxa"/>
            </w:tcMar>
          </w:tcPr>
          <w:p w14:paraId="759C305B" w14:textId="394D66D2" w:rsidR="00F755C1" w:rsidRPr="00427D63" w:rsidRDefault="5AA14FA4" w:rsidP="002F456A">
            <w:pPr>
              <w:keepNext/>
              <w:keepLines/>
              <w:spacing w:line="240" w:lineRule="auto"/>
              <w:rPr>
                <w:sz w:val="14"/>
                <w:szCs w:val="14"/>
                <w:lang w:val="de-CH"/>
              </w:rPr>
            </w:pPr>
            <w:r w:rsidRPr="5B6DD3D5">
              <w:rPr>
                <w:sz w:val="14"/>
                <w:szCs w:val="14"/>
                <w:lang w:val="de-CH"/>
              </w:rPr>
              <w:t>3.</w:t>
            </w:r>
          </w:p>
        </w:tc>
        <w:tc>
          <w:tcPr>
            <w:tcW w:w="112" w:type="pct"/>
            <w:shd w:val="clear" w:color="auto" w:fill="auto"/>
            <w:tcMar>
              <w:top w:w="0" w:type="dxa"/>
              <w:left w:w="0" w:type="dxa"/>
              <w:bottom w:w="0" w:type="dxa"/>
              <w:right w:w="0" w:type="dxa"/>
            </w:tcMar>
          </w:tcPr>
          <w:p w14:paraId="03F7FA9D" w14:textId="77777777" w:rsidR="00F755C1" w:rsidRPr="00427D63"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B560DB5" w14:textId="77777777" w:rsidR="00F755C1" w:rsidRPr="00427D63" w:rsidRDefault="00F755C1" w:rsidP="002F456A">
            <w:pPr>
              <w:keepNext/>
              <w:keepLines/>
              <w:spacing w:line="240" w:lineRule="auto"/>
              <w:rPr>
                <w:sz w:val="14"/>
                <w:szCs w:val="14"/>
                <w:lang w:val="de-CH"/>
              </w:rPr>
            </w:pPr>
          </w:p>
        </w:tc>
      </w:tr>
      <w:tr w:rsidR="00F755C1" w:rsidRPr="00427D63" w14:paraId="67A3ECC9" w14:textId="77777777" w:rsidTr="007F5981">
        <w:tc>
          <w:tcPr>
            <w:tcW w:w="2444" w:type="pct"/>
            <w:shd w:val="clear" w:color="auto" w:fill="auto"/>
            <w:tcMar>
              <w:top w:w="0" w:type="dxa"/>
              <w:left w:w="0" w:type="dxa"/>
              <w:bottom w:w="0" w:type="dxa"/>
              <w:right w:w="0" w:type="dxa"/>
            </w:tcMar>
          </w:tcPr>
          <w:p w14:paraId="5CC4B4FA" w14:textId="5FEA3D70" w:rsidR="00F755C1" w:rsidRPr="00427D63" w:rsidRDefault="00F755C1" w:rsidP="002F456A">
            <w:pPr>
              <w:keepNext/>
              <w:keepLines/>
              <w:spacing w:line="240" w:lineRule="auto"/>
              <w:rPr>
                <w:sz w:val="14"/>
                <w:szCs w:val="14"/>
                <w:lang w:val="de-CH"/>
              </w:rPr>
            </w:pPr>
          </w:p>
        </w:tc>
        <w:tc>
          <w:tcPr>
            <w:tcW w:w="112" w:type="pct"/>
            <w:shd w:val="clear" w:color="auto" w:fill="auto"/>
            <w:tcMar>
              <w:top w:w="0" w:type="dxa"/>
              <w:left w:w="0" w:type="dxa"/>
              <w:bottom w:w="0" w:type="dxa"/>
              <w:right w:w="0" w:type="dxa"/>
            </w:tcMar>
          </w:tcPr>
          <w:p w14:paraId="015FD568" w14:textId="77777777" w:rsidR="00F755C1" w:rsidRPr="00427D63"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548AB08D" w14:textId="1C91996C" w:rsidR="00F755C1" w:rsidRPr="00427D63" w:rsidRDefault="00F755C1" w:rsidP="002F456A">
            <w:pPr>
              <w:keepNext/>
              <w:keepLines/>
              <w:spacing w:line="240" w:lineRule="auto"/>
              <w:rPr>
                <w:sz w:val="14"/>
                <w:szCs w:val="14"/>
                <w:lang w:val="de-CH"/>
              </w:rPr>
            </w:pPr>
          </w:p>
        </w:tc>
      </w:tr>
      <w:tr w:rsidR="00F755C1" w:rsidRPr="00427D63" w14:paraId="2BC9EF46" w14:textId="77777777" w:rsidTr="00577C40">
        <w:trPr>
          <w:trHeight w:hRule="exact" w:val="3175"/>
        </w:trPr>
        <w:tc>
          <w:tcPr>
            <w:tcW w:w="2444" w:type="pct"/>
            <w:shd w:val="clear" w:color="auto" w:fill="auto"/>
            <w:tcMar>
              <w:top w:w="0" w:type="dxa"/>
              <w:left w:w="0" w:type="dxa"/>
              <w:bottom w:w="0" w:type="dxa"/>
              <w:right w:w="0" w:type="dxa"/>
            </w:tcMar>
          </w:tcPr>
          <w:p w14:paraId="16BFBEFA" w14:textId="3B408B3A" w:rsidR="00F755C1" w:rsidRPr="00427D63" w:rsidRDefault="00246F80" w:rsidP="002F456A">
            <w:pPr>
              <w:keepNext/>
              <w:keepLines/>
              <w:spacing w:line="240" w:lineRule="auto"/>
              <w:rPr>
                <w:sz w:val="14"/>
                <w:szCs w:val="14"/>
                <w:lang w:val="de-CH"/>
              </w:rPr>
            </w:pPr>
            <w:r>
              <w:rPr>
                <w:noProof/>
              </w:rPr>
              <w:drawing>
                <wp:inline distT="0" distB="0" distL="0" distR="0" wp14:anchorId="5FDDBCA1" wp14:editId="00DC160E">
                  <wp:extent cx="1952625" cy="1301751"/>
                  <wp:effectExtent l="0" t="0" r="3175" b="6350"/>
                  <wp:docPr id="16769370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37011"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85766" cy="1323845"/>
                          </a:xfrm>
                          <a:prstGeom prst="rect">
                            <a:avLst/>
                          </a:prstGeom>
                          <a:noFill/>
                          <a:ln>
                            <a:noFill/>
                          </a:ln>
                        </pic:spPr>
                      </pic:pic>
                    </a:graphicData>
                  </a:graphic>
                </wp:inline>
              </w:drawing>
            </w:r>
          </w:p>
        </w:tc>
        <w:tc>
          <w:tcPr>
            <w:tcW w:w="112" w:type="pct"/>
            <w:shd w:val="clear" w:color="auto" w:fill="auto"/>
            <w:tcMar>
              <w:top w:w="0" w:type="dxa"/>
              <w:left w:w="0" w:type="dxa"/>
              <w:bottom w:w="0" w:type="dxa"/>
              <w:right w:w="0" w:type="dxa"/>
            </w:tcMar>
          </w:tcPr>
          <w:p w14:paraId="550E3C22" w14:textId="77777777" w:rsidR="00F755C1" w:rsidRPr="00427D63" w:rsidRDefault="00F755C1" w:rsidP="002F456A">
            <w:pPr>
              <w:keepNext/>
              <w:keepLines/>
              <w:spacing w:line="240" w:lineRule="auto"/>
              <w:rPr>
                <w:sz w:val="14"/>
                <w:szCs w:val="14"/>
                <w:lang w:val="de-CH"/>
              </w:rPr>
            </w:pPr>
          </w:p>
        </w:tc>
        <w:tc>
          <w:tcPr>
            <w:tcW w:w="2444" w:type="pct"/>
            <w:shd w:val="clear" w:color="auto" w:fill="auto"/>
            <w:tcMar>
              <w:top w:w="0" w:type="dxa"/>
              <w:left w:w="0" w:type="dxa"/>
              <w:bottom w:w="0" w:type="dxa"/>
              <w:right w:w="0" w:type="dxa"/>
            </w:tcMar>
          </w:tcPr>
          <w:p w14:paraId="1E25D0DA" w14:textId="50CEC8C6" w:rsidR="00F755C1" w:rsidRPr="00427D63" w:rsidRDefault="00F755C1" w:rsidP="002F456A">
            <w:pPr>
              <w:keepNext/>
              <w:keepLines/>
              <w:spacing w:line="240" w:lineRule="auto"/>
              <w:rPr>
                <w:sz w:val="14"/>
                <w:szCs w:val="14"/>
                <w:lang w:val="de-CH"/>
              </w:rPr>
            </w:pPr>
          </w:p>
        </w:tc>
      </w:tr>
    </w:tbl>
    <w:p w14:paraId="56E40ECE" w14:textId="7CED0D1E" w:rsidR="00F755C1" w:rsidRPr="00427D63" w:rsidRDefault="00F755C1" w:rsidP="00EF5531">
      <w:pPr>
        <w:spacing w:before="240" w:after="240"/>
        <w:rPr>
          <w:b/>
        </w:rPr>
      </w:pPr>
      <w:r w:rsidRPr="00427D63">
        <w:br w:type="page"/>
      </w:r>
    </w:p>
    <w:p w14:paraId="53B061D2" w14:textId="77777777" w:rsidR="001817FD" w:rsidRPr="00427D63" w:rsidRDefault="001817FD" w:rsidP="00EF5531">
      <w:pPr>
        <w:spacing w:before="240" w:after="240"/>
        <w:rPr>
          <w:b/>
        </w:rPr>
      </w:pPr>
    </w:p>
    <w:p w14:paraId="0F5C6603" w14:textId="3058A4A0" w:rsidR="00EF5531" w:rsidRPr="00427D63" w:rsidRDefault="004640A2" w:rsidP="00EF5531">
      <w:pPr>
        <w:spacing w:before="240" w:after="240"/>
        <w:rPr>
          <w:rFonts w:ascii="Arial" w:hAnsi="Arial" w:cs="Arial"/>
          <w:sz w:val="22"/>
          <w:szCs w:val="22"/>
        </w:rPr>
      </w:pPr>
      <w:r w:rsidRPr="00427D63">
        <w:rPr>
          <w:rFonts w:ascii="Arial" w:hAnsi="Arial" w:cs="Arial"/>
          <w:b/>
          <w:sz w:val="22"/>
          <w:szCs w:val="22"/>
        </w:rPr>
        <w:t>Firmenportrait</w:t>
      </w:r>
    </w:p>
    <w:p w14:paraId="040913B7" w14:textId="77777777" w:rsidR="000E3747" w:rsidRPr="002C195A" w:rsidRDefault="000E3747" w:rsidP="000E3747">
      <w:pPr>
        <w:spacing w:before="240" w:after="240"/>
        <w:rPr>
          <w:rFonts w:ascii="Arial" w:hAnsi="Arial" w:cs="Arial"/>
          <w:sz w:val="22"/>
          <w:szCs w:val="22"/>
        </w:rPr>
      </w:pPr>
      <w:r w:rsidRPr="002C195A">
        <w:rPr>
          <w:rFonts w:ascii="Arial" w:hAnsi="Arial" w:cs="Arial"/>
          <w:sz w:val="22"/>
          <w:szCs w:val="22"/>
        </w:rPr>
        <w:t>Bei der Bauwerk Group setzen sich tagtäglich über 1</w:t>
      </w:r>
      <w:r>
        <w:rPr>
          <w:rFonts w:ascii="Arial" w:hAnsi="Arial" w:cs="Arial"/>
          <w:sz w:val="22"/>
          <w:szCs w:val="22"/>
        </w:rPr>
        <w:t>75</w:t>
      </w:r>
      <w:r w:rsidRPr="002C195A">
        <w:rPr>
          <w:rFonts w:ascii="Arial" w:hAnsi="Arial" w:cs="Arial"/>
          <w:sz w:val="22"/>
          <w:szCs w:val="22"/>
        </w:rPr>
        <w:t xml:space="preserve">0 Mitarbeitende rund um den Globus und in verschiedensten Abteilungen dafür ein, einzigartige und nachhaltige Parkettböden in Schweizer Präzision zu schaffen. So entwickelte sich die Unternehmensgruppe mit Hauptsitz in St. Margrethen zum führenden Produzenten und Anbieter von </w:t>
      </w:r>
      <w:r>
        <w:rPr>
          <w:rFonts w:ascii="Arial" w:hAnsi="Arial" w:cs="Arial"/>
          <w:sz w:val="22"/>
          <w:szCs w:val="22"/>
        </w:rPr>
        <w:t>Holz</w:t>
      </w:r>
      <w:r w:rsidRPr="002C195A">
        <w:rPr>
          <w:rFonts w:ascii="Arial" w:hAnsi="Arial" w:cs="Arial"/>
          <w:sz w:val="22"/>
          <w:szCs w:val="22"/>
        </w:rPr>
        <w:t xml:space="preserve">böden im Premium-Segment. Zum Portfolio der Gruppe gehören die beiden Marken Bauwerk Parkett und BOEN und seit 2022 auch das nordamerikanische Unternehmen Somerset </w:t>
      </w:r>
      <w:proofErr w:type="spellStart"/>
      <w:r w:rsidRPr="002C195A">
        <w:rPr>
          <w:rFonts w:ascii="Arial" w:hAnsi="Arial" w:cs="Arial"/>
          <w:sz w:val="22"/>
          <w:szCs w:val="22"/>
        </w:rPr>
        <w:t>Hardwood</w:t>
      </w:r>
      <w:proofErr w:type="spellEnd"/>
      <w:r w:rsidRPr="002C195A">
        <w:rPr>
          <w:rFonts w:ascii="Arial" w:hAnsi="Arial" w:cs="Arial"/>
          <w:sz w:val="22"/>
          <w:szCs w:val="22"/>
        </w:rPr>
        <w:t xml:space="preserve"> </w:t>
      </w:r>
      <w:proofErr w:type="spellStart"/>
      <w:r w:rsidRPr="002C195A">
        <w:rPr>
          <w:rFonts w:ascii="Arial" w:hAnsi="Arial" w:cs="Arial"/>
          <w:sz w:val="22"/>
          <w:szCs w:val="22"/>
        </w:rPr>
        <w:t>Flooring</w:t>
      </w:r>
      <w:proofErr w:type="spellEnd"/>
      <w:r w:rsidRPr="002C195A">
        <w:rPr>
          <w:rFonts w:ascii="Arial" w:hAnsi="Arial" w:cs="Arial"/>
          <w:sz w:val="22"/>
          <w:szCs w:val="22"/>
        </w:rPr>
        <w:t>.</w:t>
      </w:r>
    </w:p>
    <w:p w14:paraId="41FFDA09" w14:textId="1EC8A466" w:rsidR="00EF5531" w:rsidRPr="00D5262C" w:rsidRDefault="000E3747" w:rsidP="00D5262C">
      <w:pPr>
        <w:spacing w:before="240" w:after="240"/>
        <w:rPr>
          <w:rFonts w:ascii="Arial" w:hAnsi="Arial" w:cs="Arial"/>
          <w:sz w:val="22"/>
          <w:szCs w:val="22"/>
        </w:rPr>
      </w:pPr>
      <w:r>
        <w:rPr>
          <w:rFonts w:ascii="Arial" w:hAnsi="Arial" w:cs="Arial"/>
          <w:sz w:val="22"/>
          <w:szCs w:val="22"/>
        </w:rPr>
        <w:t>Die</w:t>
      </w:r>
      <w:r w:rsidRPr="002C195A">
        <w:rPr>
          <w:rFonts w:ascii="Arial" w:hAnsi="Arial" w:cs="Arial"/>
          <w:sz w:val="22"/>
          <w:szCs w:val="22"/>
        </w:rPr>
        <w:t xml:space="preserve"> Gruppe </w:t>
      </w:r>
      <w:r>
        <w:rPr>
          <w:rFonts w:ascii="Arial" w:hAnsi="Arial" w:cs="Arial"/>
          <w:sz w:val="22"/>
          <w:szCs w:val="22"/>
        </w:rPr>
        <w:t xml:space="preserve">bietet </w:t>
      </w:r>
      <w:r w:rsidRPr="002C195A">
        <w:rPr>
          <w:rFonts w:ascii="Arial" w:hAnsi="Arial" w:cs="Arial"/>
          <w:sz w:val="22"/>
          <w:szCs w:val="22"/>
        </w:rPr>
        <w:t xml:space="preserve">ein komplementäres Sortiment an Massiv-, 2- und 3-Schicht-Parkett sowie Sportböden aus Holz an. Die Produktionsstandorte liegen in der Schweiz, Litauen, Kroatien und in den USA. </w:t>
      </w:r>
    </w:p>
    <w:sectPr w:rsidR="00EF5531" w:rsidRPr="00D5262C" w:rsidSect="0053548B">
      <w:headerReference w:type="default" r:id="rId11"/>
      <w:footerReference w:type="default" r:id="rId12"/>
      <w:pgSz w:w="11900" w:h="16840"/>
      <w:pgMar w:top="1417" w:right="1417" w:bottom="1701" w:left="1417"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6C24" w14:textId="77777777" w:rsidR="002159A3" w:rsidRDefault="002159A3" w:rsidP="00BC6E2B">
      <w:r>
        <w:separator/>
      </w:r>
    </w:p>
  </w:endnote>
  <w:endnote w:type="continuationSeparator" w:id="0">
    <w:p w14:paraId="45CA9B7D" w14:textId="77777777" w:rsidR="002159A3" w:rsidRDefault="002159A3" w:rsidP="00BC6E2B">
      <w:r>
        <w:continuationSeparator/>
      </w:r>
    </w:p>
  </w:endnote>
  <w:endnote w:type="continuationNotice" w:id="1">
    <w:p w14:paraId="2D04C7D8" w14:textId="77777777" w:rsidR="002159A3" w:rsidRDefault="00215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20B0604020202020204"/>
    <w:charset w:val="00"/>
    <w:family w:val="roman"/>
    <w:notTrueType/>
    <w:pitch w:val="variable"/>
    <w:sig w:usb0="E00002AF" w:usb1="50006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CCA" w14:textId="77777777" w:rsidR="00BC6E2B" w:rsidRDefault="00BC6E2B" w:rsidP="00BC6E2B">
    <w:pPr>
      <w:pStyle w:val="Fuzeile"/>
      <w:jc w:val="center"/>
    </w:pPr>
    <w:r w:rsidRPr="00BC6E2B">
      <w:rPr>
        <w:noProof/>
      </w:rPr>
      <w:drawing>
        <wp:inline distT="0" distB="0" distL="0" distR="0" wp14:anchorId="1516D5E3" wp14:editId="6D41325F">
          <wp:extent cx="2392615" cy="505838"/>
          <wp:effectExtent l="0" t="0" r="0" b="8890"/>
          <wp:docPr id="1827241609" name="Grafik 182724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420983" cy="5118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EA7F" w14:textId="77777777" w:rsidR="002159A3" w:rsidRDefault="002159A3" w:rsidP="00BC6E2B">
      <w:r>
        <w:separator/>
      </w:r>
    </w:p>
  </w:footnote>
  <w:footnote w:type="continuationSeparator" w:id="0">
    <w:p w14:paraId="014AE3A7" w14:textId="77777777" w:rsidR="002159A3" w:rsidRDefault="002159A3" w:rsidP="00BC6E2B">
      <w:r>
        <w:continuationSeparator/>
      </w:r>
    </w:p>
  </w:footnote>
  <w:footnote w:type="continuationNotice" w:id="1">
    <w:p w14:paraId="397BC47F" w14:textId="77777777" w:rsidR="002159A3" w:rsidRDefault="00215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F6E37" w14:textId="77777777" w:rsidR="00BC6E2B" w:rsidRDefault="00BC6E2B" w:rsidP="00BC6E2B">
    <w:pPr>
      <w:pStyle w:val="Kopfzeile"/>
      <w:jc w:val="center"/>
    </w:pPr>
    <w:r w:rsidRPr="00BC6E2B">
      <w:rPr>
        <w:noProof/>
      </w:rPr>
      <w:drawing>
        <wp:inline distT="0" distB="0" distL="0" distR="0" wp14:anchorId="4CE32519" wp14:editId="41131B9B">
          <wp:extent cx="1257300" cy="713602"/>
          <wp:effectExtent l="0" t="0" r="0" b="0"/>
          <wp:docPr id="1882749495" name="Grafik 188274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57300" cy="713602"/>
                  </a:xfrm>
                  <a:prstGeom prst="rect">
                    <a:avLst/>
                  </a:prstGeom>
                </pic:spPr>
              </pic:pic>
            </a:graphicData>
          </a:graphic>
        </wp:inline>
      </w:drawing>
    </w:r>
  </w:p>
  <w:p w14:paraId="06238458" w14:textId="77777777" w:rsidR="00F762EB" w:rsidRDefault="00F762EB" w:rsidP="00BC6E2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7C8"/>
    <w:multiLevelType w:val="hybridMultilevel"/>
    <w:tmpl w:val="F6F80A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E57E84"/>
    <w:multiLevelType w:val="hybridMultilevel"/>
    <w:tmpl w:val="DCC2A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6483FF1"/>
    <w:multiLevelType w:val="hybridMultilevel"/>
    <w:tmpl w:val="A30C742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A3C32BB"/>
    <w:multiLevelType w:val="hybridMultilevel"/>
    <w:tmpl w:val="0470B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0633881">
    <w:abstractNumId w:val="3"/>
  </w:num>
  <w:num w:numId="2" w16cid:durableId="563756367">
    <w:abstractNumId w:val="0"/>
  </w:num>
  <w:num w:numId="3" w16cid:durableId="1318923818">
    <w:abstractNumId w:val="2"/>
  </w:num>
  <w:num w:numId="4" w16cid:durableId="138957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2B"/>
    <w:rsid w:val="000015C1"/>
    <w:rsid w:val="00003353"/>
    <w:rsid w:val="00005894"/>
    <w:rsid w:val="00010692"/>
    <w:rsid w:val="000112A1"/>
    <w:rsid w:val="000127F9"/>
    <w:rsid w:val="00013B94"/>
    <w:rsid w:val="000151F4"/>
    <w:rsid w:val="000224F5"/>
    <w:rsid w:val="0002289F"/>
    <w:rsid w:val="00023768"/>
    <w:rsid w:val="00031C75"/>
    <w:rsid w:val="00035482"/>
    <w:rsid w:val="000464DF"/>
    <w:rsid w:val="000557D8"/>
    <w:rsid w:val="00056D07"/>
    <w:rsid w:val="0006398B"/>
    <w:rsid w:val="000671CF"/>
    <w:rsid w:val="00067432"/>
    <w:rsid w:val="000709E7"/>
    <w:rsid w:val="00073FB3"/>
    <w:rsid w:val="000771F5"/>
    <w:rsid w:val="00087D01"/>
    <w:rsid w:val="00092E2E"/>
    <w:rsid w:val="00094708"/>
    <w:rsid w:val="000A110C"/>
    <w:rsid w:val="000A3AA6"/>
    <w:rsid w:val="000A472D"/>
    <w:rsid w:val="000A6C56"/>
    <w:rsid w:val="000B6F27"/>
    <w:rsid w:val="000D28A4"/>
    <w:rsid w:val="000D7250"/>
    <w:rsid w:val="000E3747"/>
    <w:rsid w:val="000E554D"/>
    <w:rsid w:val="000F17CD"/>
    <w:rsid w:val="00103C75"/>
    <w:rsid w:val="001048DF"/>
    <w:rsid w:val="00107A80"/>
    <w:rsid w:val="0011009F"/>
    <w:rsid w:val="00121D01"/>
    <w:rsid w:val="00126B29"/>
    <w:rsid w:val="00134169"/>
    <w:rsid w:val="00137147"/>
    <w:rsid w:val="00141289"/>
    <w:rsid w:val="00144221"/>
    <w:rsid w:val="00152D8A"/>
    <w:rsid w:val="00154B82"/>
    <w:rsid w:val="001617A0"/>
    <w:rsid w:val="001713CA"/>
    <w:rsid w:val="00175228"/>
    <w:rsid w:val="001817FD"/>
    <w:rsid w:val="001820AE"/>
    <w:rsid w:val="0018306C"/>
    <w:rsid w:val="00183867"/>
    <w:rsid w:val="00186888"/>
    <w:rsid w:val="00193DF0"/>
    <w:rsid w:val="001960D5"/>
    <w:rsid w:val="001968C3"/>
    <w:rsid w:val="00196F5E"/>
    <w:rsid w:val="001A1E0B"/>
    <w:rsid w:val="001A28BE"/>
    <w:rsid w:val="001A4D94"/>
    <w:rsid w:val="001B0C37"/>
    <w:rsid w:val="001B2F8C"/>
    <w:rsid w:val="001B4EB3"/>
    <w:rsid w:val="001C2BFF"/>
    <w:rsid w:val="001C3360"/>
    <w:rsid w:val="001C4DA5"/>
    <w:rsid w:val="001C4EB5"/>
    <w:rsid w:val="001C5216"/>
    <w:rsid w:val="001D1A58"/>
    <w:rsid w:val="001D35BD"/>
    <w:rsid w:val="001E4C5C"/>
    <w:rsid w:val="001F09C7"/>
    <w:rsid w:val="001F47A1"/>
    <w:rsid w:val="00203159"/>
    <w:rsid w:val="0020475F"/>
    <w:rsid w:val="0020636F"/>
    <w:rsid w:val="002159A3"/>
    <w:rsid w:val="002247BE"/>
    <w:rsid w:val="00225326"/>
    <w:rsid w:val="00230699"/>
    <w:rsid w:val="00230976"/>
    <w:rsid w:val="00230A6D"/>
    <w:rsid w:val="002445BF"/>
    <w:rsid w:val="00246F80"/>
    <w:rsid w:val="00247D61"/>
    <w:rsid w:val="00270441"/>
    <w:rsid w:val="00270DD8"/>
    <w:rsid w:val="00284C94"/>
    <w:rsid w:val="0028655B"/>
    <w:rsid w:val="00295401"/>
    <w:rsid w:val="00297554"/>
    <w:rsid w:val="002A1E3B"/>
    <w:rsid w:val="002A1FD9"/>
    <w:rsid w:val="002A3A75"/>
    <w:rsid w:val="002A4BB7"/>
    <w:rsid w:val="002A4C61"/>
    <w:rsid w:val="002B1BD2"/>
    <w:rsid w:val="002C10CF"/>
    <w:rsid w:val="002C195A"/>
    <w:rsid w:val="002C7F7F"/>
    <w:rsid w:val="002D146C"/>
    <w:rsid w:val="002D2E27"/>
    <w:rsid w:val="002E273D"/>
    <w:rsid w:val="002F0FCA"/>
    <w:rsid w:val="002F347B"/>
    <w:rsid w:val="002F456A"/>
    <w:rsid w:val="00301D80"/>
    <w:rsid w:val="003027C6"/>
    <w:rsid w:val="003030AE"/>
    <w:rsid w:val="00304601"/>
    <w:rsid w:val="00304793"/>
    <w:rsid w:val="003211A7"/>
    <w:rsid w:val="00323492"/>
    <w:rsid w:val="00331CFB"/>
    <w:rsid w:val="00337EB4"/>
    <w:rsid w:val="00341567"/>
    <w:rsid w:val="00342B15"/>
    <w:rsid w:val="00347718"/>
    <w:rsid w:val="0035047F"/>
    <w:rsid w:val="00357385"/>
    <w:rsid w:val="00362D20"/>
    <w:rsid w:val="0036396E"/>
    <w:rsid w:val="00384E80"/>
    <w:rsid w:val="003874E8"/>
    <w:rsid w:val="003A2124"/>
    <w:rsid w:val="003A72FF"/>
    <w:rsid w:val="003C3F07"/>
    <w:rsid w:val="003C5A43"/>
    <w:rsid w:val="003D0A8D"/>
    <w:rsid w:val="003D1141"/>
    <w:rsid w:val="003D3311"/>
    <w:rsid w:val="003E12AB"/>
    <w:rsid w:val="003E3F53"/>
    <w:rsid w:val="003E538C"/>
    <w:rsid w:val="003F3CBB"/>
    <w:rsid w:val="004013E8"/>
    <w:rsid w:val="0042069C"/>
    <w:rsid w:val="004228BF"/>
    <w:rsid w:val="00427D63"/>
    <w:rsid w:val="00430156"/>
    <w:rsid w:val="00435FD2"/>
    <w:rsid w:val="00443BF5"/>
    <w:rsid w:val="00447882"/>
    <w:rsid w:val="00451A59"/>
    <w:rsid w:val="00451EBE"/>
    <w:rsid w:val="00457BF8"/>
    <w:rsid w:val="004608A2"/>
    <w:rsid w:val="00462205"/>
    <w:rsid w:val="004640A2"/>
    <w:rsid w:val="00464131"/>
    <w:rsid w:val="004656F5"/>
    <w:rsid w:val="004718D9"/>
    <w:rsid w:val="00476175"/>
    <w:rsid w:val="00482077"/>
    <w:rsid w:val="004869A4"/>
    <w:rsid w:val="00487751"/>
    <w:rsid w:val="00487A5B"/>
    <w:rsid w:val="0049079F"/>
    <w:rsid w:val="004A1D67"/>
    <w:rsid w:val="004A2608"/>
    <w:rsid w:val="004A2795"/>
    <w:rsid w:val="004A6432"/>
    <w:rsid w:val="004B1411"/>
    <w:rsid w:val="004B38B2"/>
    <w:rsid w:val="004B5441"/>
    <w:rsid w:val="004B7DA0"/>
    <w:rsid w:val="004C47E0"/>
    <w:rsid w:val="004C5284"/>
    <w:rsid w:val="004E16A9"/>
    <w:rsid w:val="004E7A61"/>
    <w:rsid w:val="004F621B"/>
    <w:rsid w:val="00504603"/>
    <w:rsid w:val="00526890"/>
    <w:rsid w:val="0052689C"/>
    <w:rsid w:val="00526CEA"/>
    <w:rsid w:val="005275CD"/>
    <w:rsid w:val="00527D85"/>
    <w:rsid w:val="0053548B"/>
    <w:rsid w:val="00535587"/>
    <w:rsid w:val="00541A7E"/>
    <w:rsid w:val="00547220"/>
    <w:rsid w:val="0055342E"/>
    <w:rsid w:val="00555016"/>
    <w:rsid w:val="0056252F"/>
    <w:rsid w:val="00563CF0"/>
    <w:rsid w:val="00566B1C"/>
    <w:rsid w:val="00567921"/>
    <w:rsid w:val="00567FC9"/>
    <w:rsid w:val="00572B05"/>
    <w:rsid w:val="00577C40"/>
    <w:rsid w:val="00581039"/>
    <w:rsid w:val="00585E9F"/>
    <w:rsid w:val="005903D8"/>
    <w:rsid w:val="00591F24"/>
    <w:rsid w:val="00596816"/>
    <w:rsid w:val="005A1552"/>
    <w:rsid w:val="005A5C81"/>
    <w:rsid w:val="005B1EFF"/>
    <w:rsid w:val="005B54C0"/>
    <w:rsid w:val="005C305E"/>
    <w:rsid w:val="005D1E7F"/>
    <w:rsid w:val="005D7F31"/>
    <w:rsid w:val="005E1EA8"/>
    <w:rsid w:val="005E3718"/>
    <w:rsid w:val="005E6B80"/>
    <w:rsid w:val="005F6363"/>
    <w:rsid w:val="00604DFD"/>
    <w:rsid w:val="00607C28"/>
    <w:rsid w:val="00612F23"/>
    <w:rsid w:val="00613E94"/>
    <w:rsid w:val="006221A4"/>
    <w:rsid w:val="00623536"/>
    <w:rsid w:val="006258A4"/>
    <w:rsid w:val="00636C9A"/>
    <w:rsid w:val="006409CF"/>
    <w:rsid w:val="00652918"/>
    <w:rsid w:val="00660A38"/>
    <w:rsid w:val="00672D45"/>
    <w:rsid w:val="006844B8"/>
    <w:rsid w:val="00690CF3"/>
    <w:rsid w:val="006A0FAA"/>
    <w:rsid w:val="006A24D5"/>
    <w:rsid w:val="006B52BF"/>
    <w:rsid w:val="006D53B0"/>
    <w:rsid w:val="006E06A9"/>
    <w:rsid w:val="006E2482"/>
    <w:rsid w:val="006E4304"/>
    <w:rsid w:val="006E6407"/>
    <w:rsid w:val="006F0C76"/>
    <w:rsid w:val="006F3429"/>
    <w:rsid w:val="006F4408"/>
    <w:rsid w:val="006F6CD8"/>
    <w:rsid w:val="00705CC7"/>
    <w:rsid w:val="0070715D"/>
    <w:rsid w:val="00713F8B"/>
    <w:rsid w:val="00714D44"/>
    <w:rsid w:val="00721A30"/>
    <w:rsid w:val="00725575"/>
    <w:rsid w:val="00726BFB"/>
    <w:rsid w:val="00737CCE"/>
    <w:rsid w:val="00755941"/>
    <w:rsid w:val="00756EF6"/>
    <w:rsid w:val="0076255A"/>
    <w:rsid w:val="00764E03"/>
    <w:rsid w:val="00765B25"/>
    <w:rsid w:val="007663E0"/>
    <w:rsid w:val="0076648F"/>
    <w:rsid w:val="00777B45"/>
    <w:rsid w:val="00777CE3"/>
    <w:rsid w:val="007820EB"/>
    <w:rsid w:val="00787DC3"/>
    <w:rsid w:val="00793B7C"/>
    <w:rsid w:val="007A4C24"/>
    <w:rsid w:val="007A6C19"/>
    <w:rsid w:val="007B1577"/>
    <w:rsid w:val="007B3481"/>
    <w:rsid w:val="007D21C6"/>
    <w:rsid w:val="007D3D9B"/>
    <w:rsid w:val="007E03F3"/>
    <w:rsid w:val="007E42FE"/>
    <w:rsid w:val="007E5FC1"/>
    <w:rsid w:val="007E6EED"/>
    <w:rsid w:val="007E7E0C"/>
    <w:rsid w:val="007F32E9"/>
    <w:rsid w:val="007F5981"/>
    <w:rsid w:val="00811274"/>
    <w:rsid w:val="0081497F"/>
    <w:rsid w:val="008218D6"/>
    <w:rsid w:val="00821933"/>
    <w:rsid w:val="008273F3"/>
    <w:rsid w:val="00831345"/>
    <w:rsid w:val="00831A97"/>
    <w:rsid w:val="00832994"/>
    <w:rsid w:val="0083504C"/>
    <w:rsid w:val="00840F6A"/>
    <w:rsid w:val="008450CB"/>
    <w:rsid w:val="00856800"/>
    <w:rsid w:val="00863C26"/>
    <w:rsid w:val="0086588B"/>
    <w:rsid w:val="0086745A"/>
    <w:rsid w:val="00873FD1"/>
    <w:rsid w:val="008743CE"/>
    <w:rsid w:val="00877A41"/>
    <w:rsid w:val="0088066E"/>
    <w:rsid w:val="00881E90"/>
    <w:rsid w:val="00886E07"/>
    <w:rsid w:val="00890299"/>
    <w:rsid w:val="008A39CA"/>
    <w:rsid w:val="008B416D"/>
    <w:rsid w:val="008B4680"/>
    <w:rsid w:val="008C2E15"/>
    <w:rsid w:val="008C47F3"/>
    <w:rsid w:val="008C5952"/>
    <w:rsid w:val="008C6F75"/>
    <w:rsid w:val="008D4D99"/>
    <w:rsid w:val="008E4318"/>
    <w:rsid w:val="008E4869"/>
    <w:rsid w:val="008E5579"/>
    <w:rsid w:val="008E66DF"/>
    <w:rsid w:val="008E6898"/>
    <w:rsid w:val="008F4FD1"/>
    <w:rsid w:val="008F67BB"/>
    <w:rsid w:val="008F77E1"/>
    <w:rsid w:val="00902C8F"/>
    <w:rsid w:val="009038F7"/>
    <w:rsid w:val="00904711"/>
    <w:rsid w:val="00910B96"/>
    <w:rsid w:val="00924A69"/>
    <w:rsid w:val="00925709"/>
    <w:rsid w:val="009326D1"/>
    <w:rsid w:val="009336C8"/>
    <w:rsid w:val="009358A5"/>
    <w:rsid w:val="0094772C"/>
    <w:rsid w:val="00957D84"/>
    <w:rsid w:val="00970070"/>
    <w:rsid w:val="0098226B"/>
    <w:rsid w:val="0099131E"/>
    <w:rsid w:val="00991CB7"/>
    <w:rsid w:val="009A1B4D"/>
    <w:rsid w:val="009A2483"/>
    <w:rsid w:val="009B18A5"/>
    <w:rsid w:val="009B1C1B"/>
    <w:rsid w:val="009B20BA"/>
    <w:rsid w:val="009B71AF"/>
    <w:rsid w:val="009C161E"/>
    <w:rsid w:val="009C5116"/>
    <w:rsid w:val="009C67D9"/>
    <w:rsid w:val="009C76B8"/>
    <w:rsid w:val="009D172E"/>
    <w:rsid w:val="009D17FF"/>
    <w:rsid w:val="009D3AFF"/>
    <w:rsid w:val="009D6233"/>
    <w:rsid w:val="009E217A"/>
    <w:rsid w:val="009F09E5"/>
    <w:rsid w:val="009F173D"/>
    <w:rsid w:val="009F5C82"/>
    <w:rsid w:val="00A01F1D"/>
    <w:rsid w:val="00A04F1C"/>
    <w:rsid w:val="00A061DB"/>
    <w:rsid w:val="00A1046A"/>
    <w:rsid w:val="00A11B15"/>
    <w:rsid w:val="00A16C08"/>
    <w:rsid w:val="00A24FC7"/>
    <w:rsid w:val="00A2689D"/>
    <w:rsid w:val="00A32048"/>
    <w:rsid w:val="00A41E13"/>
    <w:rsid w:val="00A56451"/>
    <w:rsid w:val="00A569DA"/>
    <w:rsid w:val="00A5796A"/>
    <w:rsid w:val="00A65B20"/>
    <w:rsid w:val="00A70C87"/>
    <w:rsid w:val="00A73BA5"/>
    <w:rsid w:val="00A747CF"/>
    <w:rsid w:val="00AA120B"/>
    <w:rsid w:val="00AA1963"/>
    <w:rsid w:val="00AA1FDB"/>
    <w:rsid w:val="00AA78A0"/>
    <w:rsid w:val="00AB4960"/>
    <w:rsid w:val="00AB67FF"/>
    <w:rsid w:val="00AC2CAA"/>
    <w:rsid w:val="00AD07F7"/>
    <w:rsid w:val="00AD3380"/>
    <w:rsid w:val="00AE0220"/>
    <w:rsid w:val="00AE130C"/>
    <w:rsid w:val="00AE35AD"/>
    <w:rsid w:val="00AE6546"/>
    <w:rsid w:val="00AE77C6"/>
    <w:rsid w:val="00AE7CB7"/>
    <w:rsid w:val="00B00F0B"/>
    <w:rsid w:val="00B02408"/>
    <w:rsid w:val="00B032C9"/>
    <w:rsid w:val="00B03EAC"/>
    <w:rsid w:val="00B06105"/>
    <w:rsid w:val="00B062ED"/>
    <w:rsid w:val="00B10B89"/>
    <w:rsid w:val="00B1493E"/>
    <w:rsid w:val="00B1768C"/>
    <w:rsid w:val="00B17944"/>
    <w:rsid w:val="00B206B6"/>
    <w:rsid w:val="00B20E94"/>
    <w:rsid w:val="00B26837"/>
    <w:rsid w:val="00B30274"/>
    <w:rsid w:val="00B35B93"/>
    <w:rsid w:val="00B42546"/>
    <w:rsid w:val="00B437DF"/>
    <w:rsid w:val="00B6196D"/>
    <w:rsid w:val="00B647C1"/>
    <w:rsid w:val="00B7230E"/>
    <w:rsid w:val="00B724F4"/>
    <w:rsid w:val="00B76FB1"/>
    <w:rsid w:val="00B779C9"/>
    <w:rsid w:val="00B87498"/>
    <w:rsid w:val="00B875EC"/>
    <w:rsid w:val="00B92CEA"/>
    <w:rsid w:val="00BA05D9"/>
    <w:rsid w:val="00BB46A4"/>
    <w:rsid w:val="00BB4FA5"/>
    <w:rsid w:val="00BB5E96"/>
    <w:rsid w:val="00BB6BA8"/>
    <w:rsid w:val="00BC4DDC"/>
    <w:rsid w:val="00BC6E2B"/>
    <w:rsid w:val="00BD5434"/>
    <w:rsid w:val="00BE1D72"/>
    <w:rsid w:val="00BE5C70"/>
    <w:rsid w:val="00BF2E7B"/>
    <w:rsid w:val="00C0146C"/>
    <w:rsid w:val="00C02023"/>
    <w:rsid w:val="00C0223D"/>
    <w:rsid w:val="00C0350D"/>
    <w:rsid w:val="00C078A8"/>
    <w:rsid w:val="00C07C4A"/>
    <w:rsid w:val="00C147C3"/>
    <w:rsid w:val="00C20BE7"/>
    <w:rsid w:val="00C21CB4"/>
    <w:rsid w:val="00C22B44"/>
    <w:rsid w:val="00C27D2F"/>
    <w:rsid w:val="00C30467"/>
    <w:rsid w:val="00C33009"/>
    <w:rsid w:val="00C3639F"/>
    <w:rsid w:val="00C36DC4"/>
    <w:rsid w:val="00C418A6"/>
    <w:rsid w:val="00C4614C"/>
    <w:rsid w:val="00C52E1B"/>
    <w:rsid w:val="00C6627E"/>
    <w:rsid w:val="00C74194"/>
    <w:rsid w:val="00C80228"/>
    <w:rsid w:val="00C86D7F"/>
    <w:rsid w:val="00CA16CD"/>
    <w:rsid w:val="00CA4734"/>
    <w:rsid w:val="00CB532D"/>
    <w:rsid w:val="00CC2106"/>
    <w:rsid w:val="00CC3CDD"/>
    <w:rsid w:val="00CC44A0"/>
    <w:rsid w:val="00CD0D62"/>
    <w:rsid w:val="00CF54B5"/>
    <w:rsid w:val="00CF62E0"/>
    <w:rsid w:val="00CF7309"/>
    <w:rsid w:val="00D01BAC"/>
    <w:rsid w:val="00D05F33"/>
    <w:rsid w:val="00D070D0"/>
    <w:rsid w:val="00D104AF"/>
    <w:rsid w:val="00D222CC"/>
    <w:rsid w:val="00D26820"/>
    <w:rsid w:val="00D304F5"/>
    <w:rsid w:val="00D40E12"/>
    <w:rsid w:val="00D43816"/>
    <w:rsid w:val="00D513BD"/>
    <w:rsid w:val="00D5262C"/>
    <w:rsid w:val="00D552C5"/>
    <w:rsid w:val="00D61BB2"/>
    <w:rsid w:val="00D6383A"/>
    <w:rsid w:val="00D65F42"/>
    <w:rsid w:val="00D72B53"/>
    <w:rsid w:val="00D750B7"/>
    <w:rsid w:val="00D7569E"/>
    <w:rsid w:val="00D8475A"/>
    <w:rsid w:val="00D9210B"/>
    <w:rsid w:val="00D9236E"/>
    <w:rsid w:val="00D95EA8"/>
    <w:rsid w:val="00DA27D0"/>
    <w:rsid w:val="00DA63CE"/>
    <w:rsid w:val="00DB2A76"/>
    <w:rsid w:val="00DB52F2"/>
    <w:rsid w:val="00DC0F9B"/>
    <w:rsid w:val="00DC3F43"/>
    <w:rsid w:val="00DD29B7"/>
    <w:rsid w:val="00DE4C47"/>
    <w:rsid w:val="00DE6FA4"/>
    <w:rsid w:val="00DF0DF6"/>
    <w:rsid w:val="00DF28B1"/>
    <w:rsid w:val="00DF2B25"/>
    <w:rsid w:val="00DF5785"/>
    <w:rsid w:val="00DF60B2"/>
    <w:rsid w:val="00E04D3C"/>
    <w:rsid w:val="00E119F5"/>
    <w:rsid w:val="00E11BBC"/>
    <w:rsid w:val="00E120A0"/>
    <w:rsid w:val="00E12126"/>
    <w:rsid w:val="00E1270E"/>
    <w:rsid w:val="00E1358E"/>
    <w:rsid w:val="00E20110"/>
    <w:rsid w:val="00E20B40"/>
    <w:rsid w:val="00E234A4"/>
    <w:rsid w:val="00E32CA8"/>
    <w:rsid w:val="00E36013"/>
    <w:rsid w:val="00E42523"/>
    <w:rsid w:val="00E60374"/>
    <w:rsid w:val="00E67D1F"/>
    <w:rsid w:val="00E76C8A"/>
    <w:rsid w:val="00E8425F"/>
    <w:rsid w:val="00E858C2"/>
    <w:rsid w:val="00E92CA1"/>
    <w:rsid w:val="00EA1DDC"/>
    <w:rsid w:val="00EA1F4F"/>
    <w:rsid w:val="00EA2248"/>
    <w:rsid w:val="00EA2666"/>
    <w:rsid w:val="00EA3E70"/>
    <w:rsid w:val="00EA6428"/>
    <w:rsid w:val="00EB62B2"/>
    <w:rsid w:val="00EB6499"/>
    <w:rsid w:val="00EB7341"/>
    <w:rsid w:val="00EC2969"/>
    <w:rsid w:val="00EC3999"/>
    <w:rsid w:val="00EC5890"/>
    <w:rsid w:val="00ED3E70"/>
    <w:rsid w:val="00ED49B2"/>
    <w:rsid w:val="00EE0FC3"/>
    <w:rsid w:val="00EE265F"/>
    <w:rsid w:val="00EF43EC"/>
    <w:rsid w:val="00EF5531"/>
    <w:rsid w:val="00EF5AD6"/>
    <w:rsid w:val="00F01381"/>
    <w:rsid w:val="00F01E77"/>
    <w:rsid w:val="00F02E3A"/>
    <w:rsid w:val="00F04855"/>
    <w:rsid w:val="00F11B93"/>
    <w:rsid w:val="00F145E7"/>
    <w:rsid w:val="00F24354"/>
    <w:rsid w:val="00F36174"/>
    <w:rsid w:val="00F43ABA"/>
    <w:rsid w:val="00F43E62"/>
    <w:rsid w:val="00F62292"/>
    <w:rsid w:val="00F6297F"/>
    <w:rsid w:val="00F63E02"/>
    <w:rsid w:val="00F649A0"/>
    <w:rsid w:val="00F659CA"/>
    <w:rsid w:val="00F74C6B"/>
    <w:rsid w:val="00F755C1"/>
    <w:rsid w:val="00F758E4"/>
    <w:rsid w:val="00F762EB"/>
    <w:rsid w:val="00F80310"/>
    <w:rsid w:val="00F8421E"/>
    <w:rsid w:val="00FA0D89"/>
    <w:rsid w:val="00FB015D"/>
    <w:rsid w:val="00FB5855"/>
    <w:rsid w:val="00FB730F"/>
    <w:rsid w:val="00FC51D0"/>
    <w:rsid w:val="00FC7ED0"/>
    <w:rsid w:val="00FE168E"/>
    <w:rsid w:val="00FE4D12"/>
    <w:rsid w:val="00FE5CE5"/>
    <w:rsid w:val="00FF644F"/>
    <w:rsid w:val="0171B5CB"/>
    <w:rsid w:val="02EF82CA"/>
    <w:rsid w:val="039E0F2C"/>
    <w:rsid w:val="03FA34B1"/>
    <w:rsid w:val="04010E47"/>
    <w:rsid w:val="06A99F91"/>
    <w:rsid w:val="07C0C926"/>
    <w:rsid w:val="08CA8226"/>
    <w:rsid w:val="0AD11E0E"/>
    <w:rsid w:val="0CC930FB"/>
    <w:rsid w:val="0E6AD006"/>
    <w:rsid w:val="0F40FDED"/>
    <w:rsid w:val="0FE5F753"/>
    <w:rsid w:val="10E18DA6"/>
    <w:rsid w:val="115C30E6"/>
    <w:rsid w:val="11A45EB3"/>
    <w:rsid w:val="1606FB24"/>
    <w:rsid w:val="17B594E8"/>
    <w:rsid w:val="17C26EB7"/>
    <w:rsid w:val="1D661E92"/>
    <w:rsid w:val="1ED9EC4A"/>
    <w:rsid w:val="20369980"/>
    <w:rsid w:val="265EF10C"/>
    <w:rsid w:val="27135A98"/>
    <w:rsid w:val="28AF2408"/>
    <w:rsid w:val="28B101AA"/>
    <w:rsid w:val="28D22FA5"/>
    <w:rsid w:val="2F0DCE74"/>
    <w:rsid w:val="34431B37"/>
    <w:rsid w:val="34A4CA6F"/>
    <w:rsid w:val="35878CB0"/>
    <w:rsid w:val="37AB6C3A"/>
    <w:rsid w:val="37D417DA"/>
    <w:rsid w:val="38467A49"/>
    <w:rsid w:val="3BFA4D77"/>
    <w:rsid w:val="3DF4012B"/>
    <w:rsid w:val="4275DBD9"/>
    <w:rsid w:val="429993AA"/>
    <w:rsid w:val="44951326"/>
    <w:rsid w:val="45B74CB5"/>
    <w:rsid w:val="4727EAD1"/>
    <w:rsid w:val="47B8F78C"/>
    <w:rsid w:val="4841B40B"/>
    <w:rsid w:val="494BEB2E"/>
    <w:rsid w:val="4B3F300D"/>
    <w:rsid w:val="4D7F5B4A"/>
    <w:rsid w:val="4D84C97C"/>
    <w:rsid w:val="4F826919"/>
    <w:rsid w:val="5671FB60"/>
    <w:rsid w:val="56DDD00A"/>
    <w:rsid w:val="5AA14FA4"/>
    <w:rsid w:val="5AD934B6"/>
    <w:rsid w:val="5B6DD3D5"/>
    <w:rsid w:val="5DB56607"/>
    <w:rsid w:val="647101B0"/>
    <w:rsid w:val="648098E1"/>
    <w:rsid w:val="66AE0DD0"/>
    <w:rsid w:val="6AA8AC6A"/>
    <w:rsid w:val="6CB95856"/>
    <w:rsid w:val="6D9504DE"/>
    <w:rsid w:val="713B4F42"/>
    <w:rsid w:val="71F4C938"/>
    <w:rsid w:val="72C263D2"/>
    <w:rsid w:val="732F613D"/>
    <w:rsid w:val="762CE38B"/>
    <w:rsid w:val="785A429C"/>
    <w:rsid w:val="79557485"/>
    <w:rsid w:val="79619EC6"/>
    <w:rsid w:val="7ABCD66D"/>
    <w:rsid w:val="7CB9E021"/>
    <w:rsid w:val="7CE0329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3E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6E2B"/>
    <w:pPr>
      <w:tabs>
        <w:tab w:val="center" w:pos="4536"/>
        <w:tab w:val="right" w:pos="9072"/>
      </w:tabs>
    </w:pPr>
  </w:style>
  <w:style w:type="character" w:customStyle="1" w:styleId="KopfzeileZchn">
    <w:name w:val="Kopfzeile Zchn"/>
    <w:basedOn w:val="Absatz-Standardschriftart"/>
    <w:link w:val="Kopfzeile"/>
    <w:uiPriority w:val="99"/>
    <w:rsid w:val="00BC6E2B"/>
  </w:style>
  <w:style w:type="paragraph" w:styleId="Fuzeile">
    <w:name w:val="footer"/>
    <w:basedOn w:val="Standard"/>
    <w:link w:val="FuzeileZchn"/>
    <w:uiPriority w:val="99"/>
    <w:unhideWhenUsed/>
    <w:rsid w:val="00BC6E2B"/>
    <w:pPr>
      <w:tabs>
        <w:tab w:val="center" w:pos="4536"/>
        <w:tab w:val="right" w:pos="9072"/>
      </w:tabs>
    </w:pPr>
  </w:style>
  <w:style w:type="character" w:customStyle="1" w:styleId="FuzeileZchn">
    <w:name w:val="Fußzeile Zchn"/>
    <w:basedOn w:val="Absatz-Standardschriftart"/>
    <w:link w:val="Fuzeile"/>
    <w:uiPriority w:val="99"/>
    <w:rsid w:val="00BC6E2B"/>
  </w:style>
  <w:style w:type="paragraph" w:styleId="Listenabsatz">
    <w:name w:val="List Paragraph"/>
    <w:basedOn w:val="Standard"/>
    <w:uiPriority w:val="34"/>
    <w:qFormat/>
    <w:rsid w:val="003874E8"/>
    <w:pPr>
      <w:spacing w:after="200" w:line="276" w:lineRule="auto"/>
      <w:ind w:left="720"/>
      <w:contextualSpacing/>
    </w:pPr>
    <w:rPr>
      <w:rFonts w:ascii="Calibri" w:eastAsia="Calibri" w:hAnsi="Calibri" w:cs="Times New Roman"/>
      <w:sz w:val="22"/>
      <w:szCs w:val="22"/>
    </w:rPr>
  </w:style>
  <w:style w:type="character" w:styleId="Hyperlink">
    <w:name w:val="Hyperlink"/>
    <w:basedOn w:val="Absatz-Standardschriftart"/>
    <w:uiPriority w:val="99"/>
    <w:unhideWhenUsed/>
    <w:rsid w:val="003874E8"/>
    <w:rPr>
      <w:color w:val="0563C1" w:themeColor="hyperlink"/>
      <w:u w:val="single"/>
    </w:rPr>
  </w:style>
  <w:style w:type="paragraph" w:customStyle="1" w:styleId="Lauftext">
    <w:name w:val="Lauftext"/>
    <w:basedOn w:val="Standard"/>
    <w:qFormat/>
    <w:rsid w:val="003874E8"/>
    <w:pPr>
      <w:spacing w:after="240" w:line="259" w:lineRule="auto"/>
    </w:pPr>
    <w:rPr>
      <w:rFonts w:ascii="Minion Pro" w:hAnsi="Minion Pro"/>
      <w:sz w:val="20"/>
      <w:szCs w:val="22"/>
    </w:rPr>
  </w:style>
  <w:style w:type="character" w:styleId="NichtaufgelsteErwhnung">
    <w:name w:val="Unresolved Mention"/>
    <w:basedOn w:val="Absatz-Standardschriftart"/>
    <w:uiPriority w:val="99"/>
    <w:semiHidden/>
    <w:unhideWhenUsed/>
    <w:rsid w:val="00A11B15"/>
    <w:rPr>
      <w:color w:val="605E5C"/>
      <w:shd w:val="clear" w:color="auto" w:fill="E1DFDD"/>
    </w:rPr>
  </w:style>
  <w:style w:type="table" w:styleId="TabelleEinfach1">
    <w:name w:val="Table Simple 1"/>
    <w:basedOn w:val="NormaleTabelle"/>
    <w:rsid w:val="00F755C1"/>
    <w:pPr>
      <w:spacing w:line="288" w:lineRule="auto"/>
    </w:pPr>
    <w:rPr>
      <w:rFonts w:ascii="Arial" w:eastAsiaTheme="minorEastAsia" w:hAnsi="Arial" w:cs="Arial"/>
      <w:color w:val="00000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B1577"/>
  </w:style>
  <w:style w:type="character" w:styleId="Kommentarzeichen">
    <w:name w:val="annotation reference"/>
    <w:basedOn w:val="Absatz-Standardschriftart"/>
    <w:uiPriority w:val="99"/>
    <w:semiHidden/>
    <w:unhideWhenUsed/>
    <w:rsid w:val="000112A1"/>
    <w:rPr>
      <w:sz w:val="16"/>
      <w:szCs w:val="16"/>
    </w:rPr>
  </w:style>
  <w:style w:type="paragraph" w:styleId="Kommentartext">
    <w:name w:val="annotation text"/>
    <w:basedOn w:val="Standard"/>
    <w:link w:val="KommentartextZchn"/>
    <w:uiPriority w:val="99"/>
    <w:unhideWhenUsed/>
    <w:rsid w:val="000112A1"/>
    <w:rPr>
      <w:sz w:val="20"/>
      <w:szCs w:val="20"/>
    </w:rPr>
  </w:style>
  <w:style w:type="character" w:customStyle="1" w:styleId="KommentartextZchn">
    <w:name w:val="Kommentartext Zchn"/>
    <w:basedOn w:val="Absatz-Standardschriftart"/>
    <w:link w:val="Kommentartext"/>
    <w:uiPriority w:val="99"/>
    <w:rsid w:val="000112A1"/>
    <w:rPr>
      <w:sz w:val="20"/>
      <w:szCs w:val="20"/>
    </w:rPr>
  </w:style>
  <w:style w:type="paragraph" w:styleId="Kommentarthema">
    <w:name w:val="annotation subject"/>
    <w:basedOn w:val="Kommentartext"/>
    <w:next w:val="Kommentartext"/>
    <w:link w:val="KommentarthemaZchn"/>
    <w:uiPriority w:val="99"/>
    <w:semiHidden/>
    <w:unhideWhenUsed/>
    <w:rsid w:val="000112A1"/>
    <w:rPr>
      <w:b/>
      <w:bCs/>
    </w:rPr>
  </w:style>
  <w:style w:type="character" w:customStyle="1" w:styleId="KommentarthemaZchn">
    <w:name w:val="Kommentarthema Zchn"/>
    <w:basedOn w:val="KommentartextZchn"/>
    <w:link w:val="Kommentarthema"/>
    <w:uiPriority w:val="99"/>
    <w:semiHidden/>
    <w:rsid w:val="000112A1"/>
    <w:rPr>
      <w:b/>
      <w:bCs/>
      <w:sz w:val="20"/>
      <w:szCs w:val="20"/>
    </w:rPr>
  </w:style>
  <w:style w:type="paragraph" w:styleId="Sprechblasentext">
    <w:name w:val="Balloon Text"/>
    <w:basedOn w:val="Standard"/>
    <w:link w:val="SprechblasentextZchn"/>
    <w:uiPriority w:val="99"/>
    <w:semiHidden/>
    <w:unhideWhenUsed/>
    <w:rsid w:val="0083134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1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78938">
      <w:bodyDiv w:val="1"/>
      <w:marLeft w:val="0"/>
      <w:marRight w:val="0"/>
      <w:marTop w:val="0"/>
      <w:marBottom w:val="0"/>
      <w:divBdr>
        <w:top w:val="none" w:sz="0" w:space="0" w:color="auto"/>
        <w:left w:val="none" w:sz="0" w:space="0" w:color="auto"/>
        <w:bottom w:val="none" w:sz="0" w:space="0" w:color="auto"/>
        <w:right w:val="none" w:sz="0" w:space="0" w:color="auto"/>
      </w:divBdr>
      <w:divsChild>
        <w:div w:id="1295982621">
          <w:marLeft w:val="0"/>
          <w:marRight w:val="0"/>
          <w:marTop w:val="0"/>
          <w:marBottom w:val="0"/>
          <w:divBdr>
            <w:top w:val="none" w:sz="0" w:space="0" w:color="auto"/>
            <w:left w:val="none" w:sz="0" w:space="0" w:color="auto"/>
            <w:bottom w:val="none" w:sz="0" w:space="0" w:color="auto"/>
            <w:right w:val="none" w:sz="0" w:space="0" w:color="auto"/>
          </w:divBdr>
          <w:divsChild>
            <w:div w:id="1688556495">
              <w:marLeft w:val="0"/>
              <w:marRight w:val="0"/>
              <w:marTop w:val="0"/>
              <w:marBottom w:val="0"/>
              <w:divBdr>
                <w:top w:val="none" w:sz="0" w:space="0" w:color="auto"/>
                <w:left w:val="none" w:sz="0" w:space="0" w:color="auto"/>
                <w:bottom w:val="none" w:sz="0" w:space="0" w:color="auto"/>
                <w:right w:val="none" w:sz="0" w:space="0" w:color="auto"/>
              </w:divBdr>
              <w:divsChild>
                <w:div w:id="4381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30552">
      <w:bodyDiv w:val="1"/>
      <w:marLeft w:val="0"/>
      <w:marRight w:val="0"/>
      <w:marTop w:val="0"/>
      <w:marBottom w:val="0"/>
      <w:divBdr>
        <w:top w:val="none" w:sz="0" w:space="0" w:color="auto"/>
        <w:left w:val="none" w:sz="0" w:space="0" w:color="auto"/>
        <w:bottom w:val="none" w:sz="0" w:space="0" w:color="auto"/>
        <w:right w:val="none" w:sz="0" w:space="0" w:color="auto"/>
      </w:divBdr>
    </w:div>
    <w:div w:id="1360165143">
      <w:bodyDiv w:val="1"/>
      <w:marLeft w:val="0"/>
      <w:marRight w:val="0"/>
      <w:marTop w:val="0"/>
      <w:marBottom w:val="0"/>
      <w:divBdr>
        <w:top w:val="none" w:sz="0" w:space="0" w:color="auto"/>
        <w:left w:val="none" w:sz="0" w:space="0" w:color="auto"/>
        <w:bottom w:val="none" w:sz="0" w:space="0" w:color="auto"/>
        <w:right w:val="none" w:sz="0" w:space="0" w:color="auto"/>
      </w:divBdr>
    </w:div>
    <w:div w:id="1708945785">
      <w:bodyDiv w:val="1"/>
      <w:marLeft w:val="0"/>
      <w:marRight w:val="0"/>
      <w:marTop w:val="0"/>
      <w:marBottom w:val="0"/>
      <w:divBdr>
        <w:top w:val="none" w:sz="0" w:space="0" w:color="auto"/>
        <w:left w:val="none" w:sz="0" w:space="0" w:color="auto"/>
        <w:bottom w:val="none" w:sz="0" w:space="0" w:color="auto"/>
        <w:right w:val="none" w:sz="0" w:space="0" w:color="auto"/>
      </w:divBdr>
      <w:divsChild>
        <w:div w:id="213274675">
          <w:marLeft w:val="0"/>
          <w:marRight w:val="0"/>
          <w:marTop w:val="0"/>
          <w:marBottom w:val="0"/>
          <w:divBdr>
            <w:top w:val="none" w:sz="0" w:space="0" w:color="auto"/>
            <w:left w:val="none" w:sz="0" w:space="0" w:color="auto"/>
            <w:bottom w:val="none" w:sz="0" w:space="0" w:color="auto"/>
            <w:right w:val="none" w:sz="0" w:space="0" w:color="auto"/>
          </w:divBdr>
          <w:divsChild>
            <w:div w:id="331879659">
              <w:marLeft w:val="0"/>
              <w:marRight w:val="0"/>
              <w:marTop w:val="0"/>
              <w:marBottom w:val="0"/>
              <w:divBdr>
                <w:top w:val="none" w:sz="0" w:space="0" w:color="auto"/>
                <w:left w:val="none" w:sz="0" w:space="0" w:color="auto"/>
                <w:bottom w:val="none" w:sz="0" w:space="0" w:color="auto"/>
                <w:right w:val="none" w:sz="0" w:space="0" w:color="auto"/>
              </w:divBdr>
              <w:divsChild>
                <w:div w:id="8783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5095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2024-10-31T08:50:00Z</dcterms:created>
  <dcterms:modified xsi:type="dcterms:W3CDTF">2024-11-05T14:38:00Z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0e33ffeb8ba7dcce8aeb731e229f2ba544121145b27cc7ea987b1e73c681867b</vt:lpwstr>
  </property>
</Properties>
</file>