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E6350" w14:textId="77777777" w:rsidR="003D1F21" w:rsidRDefault="00542E3C">
      <w:pPr>
        <w:rPr>
          <w:rFonts w:eastAsia="Arial"/>
          <w:sz w:val="8"/>
          <w:szCs w:val="8"/>
        </w:rPr>
      </w:pPr>
      <w:r>
        <w:rPr>
          <w:b/>
          <w:bCs/>
          <w:sz w:val="32"/>
          <w:szCs w:val="32"/>
        </w:rPr>
        <w:t>Zusammenhalt mit Zukunftsanspruch</w:t>
      </w:r>
      <w:r>
        <w:rPr>
          <w:b/>
          <w:bCs/>
          <w:sz w:val="32"/>
          <w:szCs w:val="32"/>
        </w:rPr>
        <w:br/>
      </w:r>
      <w:r>
        <w:rPr>
          <w:rFonts w:eastAsia="Arial"/>
        </w:rPr>
        <w:t>Möbelverbinder von Häfele: Vorausschauend entwickelt und produziert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D1F21" w14:paraId="114329C6"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78D4A822" w14:textId="77777777" w:rsidR="003D1F21" w:rsidRDefault="00542E3C">
            <w:pPr>
              <w:rPr>
                <w:sz w:val="18"/>
                <w:szCs w:val="18"/>
              </w:rPr>
            </w:pPr>
            <w:r>
              <w:rPr>
                <w:noProof/>
                <w:sz w:val="18"/>
                <w:szCs w:val="18"/>
              </w:rPr>
              <w:drawing>
                <wp:inline distT="0" distB="0" distL="0" distR="0" wp14:anchorId="7566E8A3" wp14:editId="07F7B007">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8A64980" w14:textId="77777777" w:rsidR="003D1F21" w:rsidRDefault="00542E3C">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D1F21" w14:paraId="3D3AEFB3"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E5E92A8" w14:textId="77777777" w:rsidR="003D1F21" w:rsidRDefault="00542E3C">
            <w:pPr>
              <w:spacing w:after="240"/>
              <w:rPr>
                <w:sz w:val="20"/>
                <w:szCs w:val="20"/>
              </w:rPr>
            </w:pPr>
            <w:r>
              <w:rPr>
                <w:i/>
                <w:sz w:val="20"/>
                <w:szCs w:val="20"/>
              </w:rPr>
              <w:t xml:space="preserve">Erfindergeist und Zukunftsdenken – dafür steht Häfele mit seinen herausragenden Ideen und Lösungen für Möbelverbinder seit </w:t>
            </w:r>
            <w:r>
              <w:rPr>
                <w:i/>
                <w:sz w:val="20"/>
                <w:szCs w:val="20"/>
              </w:rPr>
              <w:t xml:space="preserve">Jahrzehnten. Zu den bekanntesten gehört der </w:t>
            </w:r>
            <w:proofErr w:type="spellStart"/>
            <w:r>
              <w:rPr>
                <w:i/>
                <w:sz w:val="20"/>
                <w:szCs w:val="20"/>
              </w:rPr>
              <w:t>Minifix</w:t>
            </w:r>
            <w:proofErr w:type="spellEnd"/>
            <w:r>
              <w:rPr>
                <w:i/>
                <w:sz w:val="20"/>
                <w:szCs w:val="20"/>
                <w:vertAlign w:val="superscript"/>
              </w:rPr>
              <w:t>®</w:t>
            </w:r>
            <w:r>
              <w:rPr>
                <w:i/>
                <w:sz w:val="20"/>
                <w:szCs w:val="20"/>
              </w:rPr>
              <w:t xml:space="preserve">, der Pionier der modernen </w:t>
            </w:r>
            <w:proofErr w:type="spellStart"/>
            <w:r>
              <w:rPr>
                <w:i/>
                <w:sz w:val="20"/>
                <w:szCs w:val="20"/>
              </w:rPr>
              <w:t>Korpusverbinder</w:t>
            </w:r>
            <w:proofErr w:type="spellEnd"/>
            <w:r>
              <w:rPr>
                <w:i/>
                <w:sz w:val="20"/>
                <w:szCs w:val="20"/>
              </w:rPr>
              <w:t xml:space="preserve">, genauso wie die einteiligen Spreizverbinder </w:t>
            </w:r>
            <w:proofErr w:type="spellStart"/>
            <w:r>
              <w:rPr>
                <w:i/>
                <w:sz w:val="20"/>
                <w:szCs w:val="20"/>
              </w:rPr>
              <w:t>Ixconnect</w:t>
            </w:r>
            <w:proofErr w:type="spellEnd"/>
            <w:r>
              <w:rPr>
                <w:i/>
                <w:sz w:val="20"/>
                <w:szCs w:val="20"/>
              </w:rPr>
              <w:t xml:space="preserve"> SC 8/25 und SC 8/60, die nahezu unsichtbar verbaut werden können. Bis heute ist das Unternehmen in diesem Bereich ein echter Innovationstreiber. Die neuesten Möbelverbinder von Häfele, die auf der </w:t>
            </w:r>
            <w:proofErr w:type="spellStart"/>
            <w:r>
              <w:rPr>
                <w:i/>
                <w:sz w:val="20"/>
                <w:szCs w:val="20"/>
              </w:rPr>
              <w:t>interzum</w:t>
            </w:r>
            <w:proofErr w:type="spellEnd"/>
            <w:r>
              <w:rPr>
                <w:i/>
                <w:sz w:val="20"/>
                <w:szCs w:val="20"/>
              </w:rPr>
              <w:t xml:space="preserve"> 2025 zu sehen sind, nehmen Bezug zu Schlüsselfragen der Zukunft. Häfele hatte bei deren Entwicklung und Fertigung den bedachten Einsatz von Material, die Sc</w:t>
            </w:r>
            <w:r>
              <w:rPr>
                <w:i/>
                <w:sz w:val="20"/>
                <w:szCs w:val="20"/>
              </w:rPr>
              <w:t>honung knapper Ressourcen und die Ganzheitlichkeit bei der Konzeption von Räumen im Blick.</w:t>
            </w:r>
          </w:p>
          <w:p w14:paraId="093A45AF" w14:textId="77777777" w:rsidR="0084709E" w:rsidRDefault="0084709E">
            <w:pPr>
              <w:spacing w:after="240"/>
              <w:rPr>
                <w:sz w:val="20"/>
                <w:szCs w:val="20"/>
              </w:rPr>
            </w:pPr>
          </w:p>
          <w:p w14:paraId="0D2D2B19" w14:textId="070FEE6B" w:rsidR="003D1F21" w:rsidRDefault="00542E3C">
            <w:pPr>
              <w:spacing w:after="240"/>
              <w:rPr>
                <w:sz w:val="20"/>
                <w:szCs w:val="20"/>
              </w:rPr>
            </w:pPr>
            <w:r>
              <w:rPr>
                <w:sz w:val="20"/>
                <w:szCs w:val="20"/>
              </w:rPr>
              <w:t xml:space="preserve">Wie Häfele beispielsweise dem Trend zu immer schlanker werdenden </w:t>
            </w:r>
            <w:proofErr w:type="spellStart"/>
            <w:r>
              <w:rPr>
                <w:sz w:val="20"/>
                <w:szCs w:val="20"/>
              </w:rPr>
              <w:t>Korpuswänden</w:t>
            </w:r>
            <w:proofErr w:type="spellEnd"/>
            <w:r>
              <w:rPr>
                <w:sz w:val="20"/>
                <w:szCs w:val="20"/>
              </w:rPr>
              <w:t xml:space="preserve"> gerecht wird, zeigt das Unternehmen im Rahmen der Messe an einem Möbel aus nur 12 Millimeter dünnem Plattenmaterial. Stabile Verbindungen für diese Materialstärke bieten unter anderem der </w:t>
            </w:r>
            <w:proofErr w:type="spellStart"/>
            <w:r>
              <w:rPr>
                <w:sz w:val="20"/>
                <w:szCs w:val="20"/>
              </w:rPr>
              <w:t>Minifix</w:t>
            </w:r>
            <w:proofErr w:type="spellEnd"/>
            <w:r>
              <w:rPr>
                <w:sz w:val="20"/>
                <w:szCs w:val="20"/>
                <w:vertAlign w:val="superscript"/>
              </w:rPr>
              <w:t>®</w:t>
            </w:r>
            <w:r>
              <w:rPr>
                <w:sz w:val="20"/>
                <w:szCs w:val="20"/>
              </w:rPr>
              <w:t xml:space="preserve"> 12/15 und der Krallenverbinder </w:t>
            </w:r>
            <w:proofErr w:type="spellStart"/>
            <w:r>
              <w:rPr>
                <w:sz w:val="20"/>
                <w:szCs w:val="20"/>
              </w:rPr>
              <w:t>Ixconnect</w:t>
            </w:r>
            <w:proofErr w:type="spellEnd"/>
            <w:r>
              <w:rPr>
                <w:sz w:val="20"/>
                <w:szCs w:val="20"/>
              </w:rPr>
              <w:t xml:space="preserve"> CC 8/5/30. Die </w:t>
            </w:r>
            <w:proofErr w:type="spellStart"/>
            <w:r>
              <w:rPr>
                <w:sz w:val="20"/>
                <w:szCs w:val="20"/>
              </w:rPr>
              <w:t>Ixconnect</w:t>
            </w:r>
            <w:proofErr w:type="spellEnd"/>
            <w:r>
              <w:rPr>
                <w:sz w:val="20"/>
                <w:szCs w:val="20"/>
              </w:rPr>
              <w:t xml:space="preserve"> Möbelverbinder von Häfele werden im Häfele Werk in Berlin entwickelt und gefertigt und stehen mit zertifizierten deutschen Qualitätsstandards für hohe Produktsicherheit und Zuverlässigkeit.</w:t>
            </w:r>
          </w:p>
          <w:p w14:paraId="18DB1F7F" w14:textId="77777777" w:rsidR="003D1F21" w:rsidRDefault="00542E3C">
            <w:pPr>
              <w:spacing w:after="240"/>
              <w:rPr>
                <w:sz w:val="20"/>
                <w:szCs w:val="20"/>
              </w:rPr>
            </w:pPr>
            <w:r>
              <w:rPr>
                <w:b/>
                <w:sz w:val="20"/>
                <w:szCs w:val="20"/>
              </w:rPr>
              <w:t>Unverwechselbare Qualitäten</w:t>
            </w:r>
          </w:p>
          <w:p w14:paraId="29541491" w14:textId="77777777" w:rsidR="003D1F21" w:rsidRDefault="00542E3C">
            <w:pPr>
              <w:spacing w:after="240"/>
              <w:rPr>
                <w:sz w:val="20"/>
                <w:szCs w:val="20"/>
              </w:rPr>
            </w:pPr>
            <w:r>
              <w:rPr>
                <w:sz w:val="20"/>
                <w:szCs w:val="20"/>
              </w:rPr>
              <w:t xml:space="preserve">Ob </w:t>
            </w:r>
            <w:proofErr w:type="spellStart"/>
            <w:r>
              <w:rPr>
                <w:sz w:val="20"/>
                <w:szCs w:val="20"/>
              </w:rPr>
              <w:t>Korpusverbinder</w:t>
            </w:r>
            <w:proofErr w:type="spellEnd"/>
            <w:r>
              <w:rPr>
                <w:sz w:val="20"/>
                <w:szCs w:val="20"/>
              </w:rPr>
              <w:t xml:space="preserve">, Bodenträger oder </w:t>
            </w:r>
            <w:proofErr w:type="spellStart"/>
            <w:r>
              <w:rPr>
                <w:sz w:val="20"/>
                <w:szCs w:val="20"/>
              </w:rPr>
              <w:t>Tablarverbinder</w:t>
            </w:r>
            <w:proofErr w:type="spellEnd"/>
            <w:r>
              <w:rPr>
                <w:sz w:val="20"/>
                <w:szCs w:val="20"/>
              </w:rPr>
              <w:t xml:space="preserve">, Rückwand- oder Panelverbinder – als Entwickler und </w:t>
            </w:r>
            <w:r>
              <w:rPr>
                <w:sz w:val="20"/>
                <w:szCs w:val="20"/>
              </w:rPr>
              <w:t xml:space="preserve">Hersteller von Möbelverbindern ist Häfele unverwechselbar. Denn das Unternehmen hat nicht nur Erfahrung über Generationen, sondern vereint unter einem Dach alle erforderlichen </w:t>
            </w:r>
            <w:r>
              <w:rPr>
                <w:sz w:val="20"/>
                <w:szCs w:val="20"/>
              </w:rPr>
              <w:lastRenderedPageBreak/>
              <w:t>Fachkompetenzen. Sie reichen vom hochqualifizierten Expertenwissen über moderne Produktionsstätten und Fertigungsverfahren bis hin zu innovativen Materialtechnologien und effizienten Logistiksystemen.</w:t>
            </w:r>
          </w:p>
          <w:p w14:paraId="19A5D8D1" w14:textId="77777777" w:rsidR="003D1F21" w:rsidRDefault="00542E3C">
            <w:pPr>
              <w:spacing w:after="240"/>
              <w:rPr>
                <w:sz w:val="20"/>
                <w:szCs w:val="20"/>
              </w:rPr>
            </w:pPr>
            <w:r>
              <w:rPr>
                <w:sz w:val="20"/>
                <w:szCs w:val="20"/>
              </w:rPr>
              <w:t>Seit Jahrzehnten setzt Häfele auf intensive weltweite Marktbeobachtung und arbeitet gemeinsam mit seinen internationalen Partnern aus der Möbelindustrie an zukunftsorientierten Lösungen. So entwickelt, fertigt und optimiert das Unternehmen starke Möbelverbinder nach Kundenwunsch – effizient und maßgeschneidert. Mit umfassendem Wissen über Materialien, Produktionsverfahren und Anwendungstechniken erarbeitet Häfele Lösungen gemeinsam mit seinen Kunden, immer passend zu Möbelqualität und Fertigungsmethode. Das</w:t>
            </w:r>
            <w:r>
              <w:rPr>
                <w:sz w:val="20"/>
                <w:szCs w:val="20"/>
              </w:rPr>
              <w:t xml:space="preserve"> senkt aktiv Prozess- und Produktionskosten.</w:t>
            </w:r>
          </w:p>
          <w:p w14:paraId="0A7B911C" w14:textId="77777777" w:rsidR="003D1F21" w:rsidRDefault="00542E3C">
            <w:pPr>
              <w:spacing w:after="240"/>
              <w:rPr>
                <w:sz w:val="20"/>
                <w:szCs w:val="20"/>
              </w:rPr>
            </w:pPr>
            <w:r>
              <w:rPr>
                <w:b/>
                <w:sz w:val="20"/>
                <w:szCs w:val="20"/>
              </w:rPr>
              <w:t>Einer für (fast) alles – der Universalverbinder UC 16/64</w:t>
            </w:r>
          </w:p>
          <w:p w14:paraId="417AA814" w14:textId="77777777" w:rsidR="003D1F21" w:rsidRDefault="00542E3C">
            <w:pPr>
              <w:spacing w:after="240"/>
              <w:rPr>
                <w:sz w:val="20"/>
                <w:szCs w:val="20"/>
              </w:rPr>
            </w:pPr>
            <w:r>
              <w:rPr>
                <w:sz w:val="20"/>
                <w:szCs w:val="20"/>
              </w:rPr>
              <w:t xml:space="preserve">Das neueste Mitglied aus der Häfele </w:t>
            </w:r>
            <w:proofErr w:type="spellStart"/>
            <w:r>
              <w:rPr>
                <w:sz w:val="20"/>
                <w:szCs w:val="20"/>
              </w:rPr>
              <w:t>Ixconnect</w:t>
            </w:r>
            <w:proofErr w:type="spellEnd"/>
            <w:r>
              <w:rPr>
                <w:sz w:val="20"/>
                <w:szCs w:val="20"/>
              </w:rPr>
              <w:t xml:space="preserve"> </w:t>
            </w:r>
            <w:proofErr w:type="spellStart"/>
            <w:r>
              <w:rPr>
                <w:sz w:val="20"/>
                <w:szCs w:val="20"/>
              </w:rPr>
              <w:t>Verbinderfamilie</w:t>
            </w:r>
            <w:proofErr w:type="spellEnd"/>
            <w:r>
              <w:rPr>
                <w:sz w:val="20"/>
                <w:szCs w:val="20"/>
              </w:rPr>
              <w:t xml:space="preserve"> ist der Universalverbinder UC 16/64, der mit seiner durchdachten, ressourcenschonenden Bauweise überzeugt. In nur einem Produkt vereint der kompakte Allrounder überraschend viele </w:t>
            </w:r>
            <w:proofErr w:type="spellStart"/>
            <w:r>
              <w:rPr>
                <w:sz w:val="20"/>
                <w:szCs w:val="20"/>
              </w:rPr>
              <w:t>Möbelverbindervarianten</w:t>
            </w:r>
            <w:proofErr w:type="spellEnd"/>
            <w:r>
              <w:rPr>
                <w:sz w:val="20"/>
                <w:szCs w:val="20"/>
              </w:rPr>
              <w:t xml:space="preserve"> und kann deswegen flexibel in unterschiedlichsten Einbausituationen verwendet werden. Ob als einteiliger Eckverbinder, für Winkelanwendungen, für die </w:t>
            </w:r>
            <w:proofErr w:type="spellStart"/>
            <w:r>
              <w:rPr>
                <w:sz w:val="20"/>
                <w:szCs w:val="20"/>
              </w:rPr>
              <w:t>Paneelmontage</w:t>
            </w:r>
            <w:proofErr w:type="spellEnd"/>
            <w:r>
              <w:rPr>
                <w:sz w:val="20"/>
                <w:szCs w:val="20"/>
              </w:rPr>
              <w:t xml:space="preserve"> oder als klassischer Verbindungswinkel: Er ist multifunktional einsetzbar, denn je nachdem wie man zwei oder sogar meh</w:t>
            </w:r>
            <w:r>
              <w:rPr>
                <w:sz w:val="20"/>
                <w:szCs w:val="20"/>
              </w:rPr>
              <w:t>rere der durchdachten Verbinder kombiniert, kann man damit unzählige, stabile Verbindungen herstellen. Damit reduziert sich auch die Lagerbevorratung. Außerdem sind Montageteams mit dem Universalverbinder UC 16/64 bestens auf jede Situation vorbereitet und sparen gleichzeitig Platz und Gewicht im Fahrzeug.</w:t>
            </w:r>
          </w:p>
          <w:p w14:paraId="198ED6FE" w14:textId="77777777" w:rsidR="003D1F21" w:rsidRDefault="00542E3C" w:rsidP="0084709E">
            <w:pPr>
              <w:spacing w:after="240"/>
              <w:ind w:right="-190"/>
              <w:rPr>
                <w:sz w:val="20"/>
                <w:szCs w:val="20"/>
              </w:rPr>
            </w:pPr>
            <w:proofErr w:type="spellStart"/>
            <w:r>
              <w:rPr>
                <w:b/>
                <w:sz w:val="20"/>
                <w:szCs w:val="20"/>
              </w:rPr>
              <w:t>Verbinderkompetenz</w:t>
            </w:r>
            <w:proofErr w:type="spellEnd"/>
            <w:r>
              <w:rPr>
                <w:b/>
                <w:sz w:val="20"/>
                <w:szCs w:val="20"/>
              </w:rPr>
              <w:t xml:space="preserve"> zu Ende gedacht: </w:t>
            </w:r>
            <w:r>
              <w:rPr>
                <w:b/>
                <w:sz w:val="20"/>
                <w:szCs w:val="20"/>
              </w:rPr>
              <w:t>Verpackung nach Kundenwunsch</w:t>
            </w:r>
          </w:p>
          <w:p w14:paraId="17DA8BF1" w14:textId="77777777" w:rsidR="003D1F21" w:rsidRDefault="00542E3C">
            <w:pPr>
              <w:spacing w:after="240"/>
              <w:rPr>
                <w:sz w:val="20"/>
                <w:szCs w:val="20"/>
              </w:rPr>
            </w:pPr>
            <w:r>
              <w:rPr>
                <w:sz w:val="20"/>
                <w:szCs w:val="20"/>
              </w:rPr>
              <w:t xml:space="preserve">Im Rahmen seines "Service+ Maßgeschneidert" Angebots konzipiert und realisiert Häfele kundenindividuelle Beutel- und Kartonverpackungen für Möbelverbinder, aber auch für komplette Möbelproduktionseinheiten. Nahezu jede Stückzahl, jede Zusammenstellung und jedes Format kann von Häfele abgepackt werden. Ob </w:t>
            </w:r>
            <w:proofErr w:type="spellStart"/>
            <w:r>
              <w:rPr>
                <w:sz w:val="20"/>
                <w:szCs w:val="20"/>
              </w:rPr>
              <w:t>Beschlagsbeutel</w:t>
            </w:r>
            <w:proofErr w:type="spellEnd"/>
            <w:r>
              <w:rPr>
                <w:sz w:val="20"/>
                <w:szCs w:val="20"/>
              </w:rPr>
              <w:t xml:space="preserve">, „Beutel in Beutel“-Verpackung, „Beutel in Karton“-Verpackung, Kartonverpackung oder Sonderverpackungen – Häfele entwickelt in enger Abstimmung mit seinen Kunden maßgeschneiderte </w:t>
            </w:r>
            <w:proofErr w:type="spellStart"/>
            <w:r>
              <w:rPr>
                <w:sz w:val="20"/>
                <w:szCs w:val="20"/>
              </w:rPr>
              <w:t>Packaging</w:t>
            </w:r>
            <w:proofErr w:type="spellEnd"/>
            <w:r>
              <w:rPr>
                <w:sz w:val="20"/>
                <w:szCs w:val="20"/>
              </w:rPr>
              <w:t>-Lösungen und schafft so echten Mehrwert für die industrielle und handwerkliche Möbelfertigung. Denn Komponenten, die fix und fertig angeliefert werden, entlasten den gesamten Fertigungsprozess.</w:t>
            </w:r>
          </w:p>
          <w:p w14:paraId="363762D6" w14:textId="3B3F1D97" w:rsidR="003D1F21" w:rsidRDefault="00542E3C">
            <w:pPr>
              <w:spacing w:after="240"/>
              <w:rPr>
                <w:sz w:val="20"/>
                <w:szCs w:val="20"/>
              </w:rPr>
            </w:pPr>
            <w:r>
              <w:rPr>
                <w:sz w:val="20"/>
                <w:szCs w:val="20"/>
              </w:rPr>
              <w:t xml:space="preserve">Entdecken Sie das </w:t>
            </w:r>
            <w:r>
              <w:rPr>
                <w:sz w:val="20"/>
                <w:szCs w:val="20"/>
              </w:rPr>
              <w:t xml:space="preserve">"Service+ Maßgeschneidert" </w:t>
            </w:r>
            <w:r>
              <w:rPr>
                <w:sz w:val="20"/>
                <w:szCs w:val="20"/>
              </w:rPr>
              <w:t xml:space="preserve">Angebot von Häfele unter </w:t>
            </w:r>
            <w:hyperlink r:id="rId7">
              <w:r>
                <w:rPr>
                  <w:rStyle w:val="Hyperlink"/>
                  <w:color w:val="000000"/>
                  <w:sz w:val="20"/>
                  <w:szCs w:val="20"/>
                </w:rPr>
                <w:t>Verpackungs-Engineering | HÄFELE</w:t>
              </w:r>
            </w:hyperlink>
            <w:r>
              <w:rPr>
                <w:sz w:val="20"/>
                <w:szCs w:val="20"/>
              </w:rPr>
              <w:t>.</w:t>
            </w:r>
          </w:p>
          <w:p w14:paraId="05D76DC2" w14:textId="77777777" w:rsidR="003D1F21" w:rsidRDefault="00542E3C">
            <w:pPr>
              <w:rPr>
                <w:sz w:val="20"/>
                <w:szCs w:val="20"/>
              </w:rPr>
            </w:pPr>
            <w:r>
              <w:rPr>
                <w:sz w:val="20"/>
                <w:szCs w:val="20"/>
              </w:rPr>
              <w:t>Nagold, April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349A5FED" w14:textId="77777777" w:rsidR="003D1F21" w:rsidRDefault="00542E3C">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215EE6A2" w14:textId="77777777" w:rsidR="003D1F21" w:rsidRDefault="00542E3C">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50C29F08" w14:textId="77777777" w:rsidR="003D1F21" w:rsidRDefault="00542E3C">
            <w:pPr>
              <w:spacing w:after="240"/>
              <w:rPr>
                <w:sz w:val="20"/>
                <w:szCs w:val="20"/>
              </w:rPr>
            </w:pPr>
            <w:r>
              <w:rPr>
                <w:sz w:val="20"/>
                <w:szCs w:val="20"/>
              </w:rPr>
              <w:t> </w:t>
            </w:r>
          </w:p>
          <w:p w14:paraId="555BC900" w14:textId="77777777" w:rsidR="003D1F21" w:rsidRDefault="00542E3C">
            <w:pPr>
              <w:rPr>
                <w:sz w:val="20"/>
                <w:szCs w:val="20"/>
              </w:rPr>
            </w:pPr>
            <w:r>
              <w:rPr>
                <w:sz w:val="20"/>
                <w:szCs w:val="20"/>
              </w:rPr>
              <w:t> </w:t>
            </w:r>
          </w:p>
        </w:tc>
      </w:tr>
      <w:tr w:rsidR="003D1F21" w14:paraId="2BB30B6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90A72AF" w14:textId="77777777" w:rsidR="003D1F21" w:rsidRDefault="003D1F2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0DE5015" w14:textId="77777777" w:rsidR="003D1F21" w:rsidRDefault="003D1F21">
            <w:pPr>
              <w:rPr>
                <w:sz w:val="20"/>
                <w:szCs w:val="20"/>
              </w:rPr>
            </w:pPr>
          </w:p>
        </w:tc>
      </w:tr>
    </w:tbl>
    <w:p w14:paraId="7784F3FE" w14:textId="77777777" w:rsidR="003D1F21" w:rsidRDefault="00542E3C">
      <w:pPr>
        <w:spacing w:line="240" w:lineRule="auto"/>
        <w:rPr>
          <w:sz w:val="17"/>
          <w:szCs w:val="17"/>
        </w:rPr>
      </w:pPr>
      <w:r>
        <w:rPr>
          <w:b/>
          <w:sz w:val="17"/>
          <w:szCs w:val="17"/>
        </w:rPr>
        <w:t>1</w:t>
      </w:r>
      <w:r>
        <w:rPr>
          <w:sz w:val="17"/>
          <w:szCs w:val="17"/>
        </w:rPr>
        <w:t xml:space="preserve"> Der </w:t>
      </w:r>
      <w:proofErr w:type="spellStart"/>
      <w:r>
        <w:rPr>
          <w:sz w:val="17"/>
          <w:szCs w:val="17"/>
        </w:rPr>
        <w:t>Minifix</w:t>
      </w:r>
      <w:proofErr w:type="spellEnd"/>
      <w:r>
        <w:rPr>
          <w:sz w:val="17"/>
          <w:szCs w:val="17"/>
          <w:vertAlign w:val="superscript"/>
        </w:rPr>
        <w:t>®</w:t>
      </w:r>
      <w:r>
        <w:rPr>
          <w:sz w:val="17"/>
          <w:szCs w:val="17"/>
        </w:rPr>
        <w:t xml:space="preserve"> von Häfele ist der Pionier der modernen </w:t>
      </w:r>
      <w:proofErr w:type="spellStart"/>
      <w:r>
        <w:rPr>
          <w:sz w:val="17"/>
          <w:szCs w:val="17"/>
        </w:rPr>
        <w:t>Korpusverbinder</w:t>
      </w:r>
      <w:proofErr w:type="spellEnd"/>
      <w:r>
        <w:rPr>
          <w:sz w:val="17"/>
          <w:szCs w:val="17"/>
        </w:rPr>
        <w:t xml:space="preserve"> und steht stellvertretend für die hohe Herstellerkompetenz von Häfele im Bereich der Möbelverbinder. Viele Möbelverbinder von Häfele – darunter zum Beispiel die bekannte </w:t>
      </w:r>
      <w:proofErr w:type="spellStart"/>
      <w:r>
        <w:rPr>
          <w:sz w:val="17"/>
          <w:szCs w:val="17"/>
        </w:rPr>
        <w:t>Ixconnect</w:t>
      </w:r>
      <w:proofErr w:type="spellEnd"/>
      <w:r>
        <w:rPr>
          <w:sz w:val="17"/>
          <w:szCs w:val="17"/>
        </w:rPr>
        <w:t xml:space="preserve"> Familie – werden im Häfele Werk in Berlin entwickelt und gefertigt. Mit zertifizierten deutschen Qualitätsstandards stehen sie für hohe Produktsicherheit und Zuverlässigkeit. Foto: Häfele</w:t>
      </w:r>
      <w:r>
        <w:rPr>
          <w:sz w:val="17"/>
          <w:szCs w:val="17"/>
        </w:rPr>
        <w:br/>
      </w:r>
    </w:p>
    <w:p w14:paraId="42915DFF" w14:textId="77777777" w:rsidR="003D1F21" w:rsidRDefault="00542E3C">
      <w:pPr>
        <w:spacing w:line="240" w:lineRule="auto"/>
        <w:rPr>
          <w:sz w:val="17"/>
          <w:szCs w:val="17"/>
        </w:rPr>
      </w:pPr>
      <w:r>
        <w:rPr>
          <w:b/>
          <w:sz w:val="17"/>
          <w:szCs w:val="17"/>
        </w:rPr>
        <w:t>2</w:t>
      </w:r>
      <w:r>
        <w:rPr>
          <w:sz w:val="17"/>
          <w:szCs w:val="17"/>
        </w:rPr>
        <w:t xml:space="preserve"> Der Trend im Möbelbau geht zu dünnen Plattenstärken. Welche Lösungen Häfele dafür auf der </w:t>
      </w:r>
      <w:proofErr w:type="spellStart"/>
      <w:r>
        <w:rPr>
          <w:sz w:val="17"/>
          <w:szCs w:val="17"/>
        </w:rPr>
        <w:t>interzum</w:t>
      </w:r>
      <w:proofErr w:type="spellEnd"/>
      <w:r>
        <w:rPr>
          <w:sz w:val="17"/>
          <w:szCs w:val="17"/>
        </w:rPr>
        <w:t xml:space="preserve"> im Gepäck hat? Zum Beispiel den zierlichen </w:t>
      </w:r>
      <w:proofErr w:type="spellStart"/>
      <w:r>
        <w:rPr>
          <w:sz w:val="17"/>
          <w:szCs w:val="17"/>
        </w:rPr>
        <w:t>Minifix</w:t>
      </w:r>
      <w:proofErr w:type="spellEnd"/>
      <w:r>
        <w:rPr>
          <w:sz w:val="17"/>
          <w:szCs w:val="17"/>
          <w:vertAlign w:val="superscript"/>
        </w:rPr>
        <w:t>®</w:t>
      </w:r>
      <w:r>
        <w:rPr>
          <w:sz w:val="17"/>
          <w:szCs w:val="17"/>
        </w:rPr>
        <w:t xml:space="preserve"> 12. Foto: Häfele</w:t>
      </w:r>
      <w:r>
        <w:rPr>
          <w:sz w:val="17"/>
          <w:szCs w:val="17"/>
        </w:rPr>
        <w:br/>
      </w:r>
    </w:p>
    <w:p w14:paraId="5DCFC9E4" w14:textId="77777777" w:rsidR="003D1F21" w:rsidRDefault="00542E3C">
      <w:pPr>
        <w:spacing w:line="240" w:lineRule="auto"/>
        <w:rPr>
          <w:sz w:val="17"/>
          <w:szCs w:val="17"/>
        </w:rPr>
      </w:pPr>
      <w:r>
        <w:rPr>
          <w:b/>
          <w:sz w:val="17"/>
          <w:szCs w:val="17"/>
        </w:rPr>
        <w:t>3</w:t>
      </w:r>
      <w:r>
        <w:rPr>
          <w:sz w:val="17"/>
          <w:szCs w:val="17"/>
        </w:rPr>
        <w:t xml:space="preserve"> Der </w:t>
      </w:r>
      <w:proofErr w:type="spellStart"/>
      <w:r>
        <w:rPr>
          <w:sz w:val="17"/>
          <w:szCs w:val="17"/>
        </w:rPr>
        <w:t>Minifix</w:t>
      </w:r>
      <w:proofErr w:type="spellEnd"/>
      <w:r>
        <w:rPr>
          <w:sz w:val="17"/>
          <w:szCs w:val="17"/>
          <w:vertAlign w:val="superscript"/>
        </w:rPr>
        <w:t>®</w:t>
      </w:r>
      <w:r>
        <w:rPr>
          <w:sz w:val="17"/>
          <w:szCs w:val="17"/>
        </w:rPr>
        <w:t xml:space="preserve"> 12 lässt sich über einen </w:t>
      </w:r>
      <w:proofErr w:type="spellStart"/>
      <w:r>
        <w:rPr>
          <w:sz w:val="17"/>
          <w:szCs w:val="17"/>
        </w:rPr>
        <w:t>Verbinderbolzen</w:t>
      </w:r>
      <w:proofErr w:type="spellEnd"/>
      <w:r>
        <w:rPr>
          <w:sz w:val="17"/>
          <w:szCs w:val="17"/>
        </w:rPr>
        <w:t xml:space="preserve"> mit dem Plattenmaterial der Front koppeln und sorgt so auch bei schlankem Materialeinsatz für Sicherheit und Stabilität. Mit ihm werden trotz kleiner Baugrößen auch bei wiederholtem Lösen und Anziehen form- und kraftschlüssige Konstruktionen gewährleistet. Foto: Häfele</w:t>
      </w:r>
      <w:r>
        <w:rPr>
          <w:sz w:val="17"/>
          <w:szCs w:val="17"/>
        </w:rPr>
        <w:br/>
      </w:r>
    </w:p>
    <w:p w14:paraId="078109E5" w14:textId="77777777" w:rsidR="003D1F21" w:rsidRDefault="00542E3C">
      <w:pPr>
        <w:spacing w:line="240" w:lineRule="auto"/>
        <w:rPr>
          <w:sz w:val="17"/>
          <w:szCs w:val="17"/>
        </w:rPr>
      </w:pPr>
      <w:r>
        <w:rPr>
          <w:b/>
          <w:sz w:val="17"/>
          <w:szCs w:val="17"/>
        </w:rPr>
        <w:t>4</w:t>
      </w:r>
      <w:r>
        <w:rPr>
          <w:sz w:val="17"/>
          <w:szCs w:val="17"/>
        </w:rPr>
        <w:t xml:space="preserve"> Ebenfalls längst Klassiker im Häfele Sortiment sind die Spreizverbinder der </w:t>
      </w:r>
      <w:proofErr w:type="spellStart"/>
      <w:r>
        <w:rPr>
          <w:sz w:val="17"/>
          <w:szCs w:val="17"/>
        </w:rPr>
        <w:t>Ixconnect</w:t>
      </w:r>
      <w:proofErr w:type="spellEnd"/>
      <w:r>
        <w:rPr>
          <w:sz w:val="17"/>
          <w:szCs w:val="17"/>
        </w:rPr>
        <w:t xml:space="preserve"> Familie. Hier der </w:t>
      </w:r>
      <w:proofErr w:type="spellStart"/>
      <w:r>
        <w:rPr>
          <w:sz w:val="17"/>
          <w:szCs w:val="17"/>
        </w:rPr>
        <w:t>Ixconnect</w:t>
      </w:r>
      <w:proofErr w:type="spellEnd"/>
      <w:r>
        <w:rPr>
          <w:sz w:val="17"/>
          <w:szCs w:val="17"/>
        </w:rPr>
        <w:t xml:space="preserve"> SC 8/25 für den Zusammenbau leichter Möbel. Er kann nahezu unsichtbar verbaut werden und gewann 2017 auf der </w:t>
      </w:r>
      <w:proofErr w:type="spellStart"/>
      <w:r>
        <w:rPr>
          <w:sz w:val="17"/>
          <w:szCs w:val="17"/>
        </w:rPr>
        <w:t>interzum</w:t>
      </w:r>
      <w:proofErr w:type="spellEnd"/>
      <w:r>
        <w:rPr>
          <w:sz w:val="17"/>
          <w:szCs w:val="17"/>
        </w:rPr>
        <w:t xml:space="preserve"> den gleichnamigen Award mit dem Prädikat „Best </w:t>
      </w:r>
      <w:proofErr w:type="spellStart"/>
      <w:r>
        <w:rPr>
          <w:sz w:val="17"/>
          <w:szCs w:val="17"/>
        </w:rPr>
        <w:t>of</w:t>
      </w:r>
      <w:proofErr w:type="spellEnd"/>
      <w:r>
        <w:rPr>
          <w:sz w:val="17"/>
          <w:szCs w:val="17"/>
        </w:rPr>
        <w:t xml:space="preserve"> </w:t>
      </w:r>
      <w:proofErr w:type="spellStart"/>
      <w:r>
        <w:rPr>
          <w:sz w:val="17"/>
          <w:szCs w:val="17"/>
        </w:rPr>
        <w:t>the</w:t>
      </w:r>
      <w:proofErr w:type="spellEnd"/>
      <w:r>
        <w:rPr>
          <w:sz w:val="17"/>
          <w:szCs w:val="17"/>
        </w:rPr>
        <w:t xml:space="preserve"> Best“ – und damit die höchste Auszeichnung.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D1F21" w14:paraId="52538669" w14:textId="77777777">
        <w:tc>
          <w:tcPr>
            <w:tcW w:w="2444" w:type="pct"/>
            <w:tcBorders>
              <w:top w:val="nil"/>
              <w:left w:val="nil"/>
              <w:bottom w:val="nil"/>
              <w:right w:val="nil"/>
            </w:tcBorders>
            <w:shd w:val="clear" w:color="auto" w:fill="auto"/>
            <w:tcMar>
              <w:top w:w="0" w:type="dxa"/>
              <w:left w:w="0" w:type="dxa"/>
              <w:bottom w:w="0" w:type="dxa"/>
              <w:right w:w="0" w:type="dxa"/>
            </w:tcMar>
          </w:tcPr>
          <w:p w14:paraId="7C655667" w14:textId="77777777" w:rsidR="003D1F21" w:rsidRDefault="00542E3C">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6B0A0CE" w14:textId="77777777" w:rsidR="003D1F21" w:rsidRDefault="003D1F2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115F48C" w14:textId="77777777" w:rsidR="003D1F21" w:rsidRDefault="00542E3C">
            <w:pPr>
              <w:keepNext/>
              <w:keepLines/>
              <w:spacing w:line="240" w:lineRule="auto"/>
              <w:rPr>
                <w:sz w:val="14"/>
                <w:szCs w:val="14"/>
              </w:rPr>
            </w:pPr>
            <w:r>
              <w:rPr>
                <w:sz w:val="14"/>
                <w:szCs w:val="14"/>
              </w:rPr>
              <w:t>2.</w:t>
            </w:r>
          </w:p>
        </w:tc>
      </w:tr>
      <w:tr w:rsidR="003D1F21" w14:paraId="60E3D26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9584508" w14:textId="77777777" w:rsidR="003D1F21" w:rsidRDefault="00542E3C">
            <w:pPr>
              <w:keepNext/>
              <w:keepLines/>
              <w:spacing w:line="240" w:lineRule="auto"/>
              <w:rPr>
                <w:sz w:val="14"/>
                <w:szCs w:val="14"/>
              </w:rPr>
            </w:pPr>
            <w:r>
              <w:rPr>
                <w:noProof/>
                <w:sz w:val="14"/>
                <w:szCs w:val="14"/>
              </w:rPr>
              <w:drawing>
                <wp:inline distT="0" distB="0" distL="0" distR="0" wp14:anchorId="4428A4EE" wp14:editId="664C14A0">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A5D2A68" w14:textId="77777777" w:rsidR="003D1F21" w:rsidRDefault="003D1F2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330C433" w14:textId="77777777" w:rsidR="003D1F21" w:rsidRDefault="00542E3C">
            <w:pPr>
              <w:keepNext/>
              <w:keepLines/>
              <w:spacing w:line="240" w:lineRule="auto"/>
              <w:rPr>
                <w:sz w:val="14"/>
                <w:szCs w:val="14"/>
              </w:rPr>
            </w:pPr>
            <w:r>
              <w:rPr>
                <w:noProof/>
                <w:sz w:val="14"/>
                <w:szCs w:val="14"/>
              </w:rPr>
              <w:drawing>
                <wp:inline distT="0" distB="0" distL="0" distR="0" wp14:anchorId="0FC039FC" wp14:editId="5C7D35B0">
                  <wp:extent cx="1798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798320" cy="2014220"/>
                          </a:xfrm>
                          <a:prstGeom prst="rect">
                            <a:avLst/>
                          </a:prstGeom>
                        </pic:spPr>
                      </pic:pic>
                    </a:graphicData>
                  </a:graphic>
                </wp:inline>
              </w:drawing>
            </w:r>
          </w:p>
        </w:tc>
      </w:tr>
      <w:tr w:rsidR="003D1F21" w14:paraId="36A4D15F" w14:textId="77777777">
        <w:tc>
          <w:tcPr>
            <w:tcW w:w="2444" w:type="pct"/>
            <w:tcBorders>
              <w:top w:val="nil"/>
              <w:left w:val="nil"/>
              <w:bottom w:val="nil"/>
              <w:right w:val="nil"/>
            </w:tcBorders>
            <w:shd w:val="clear" w:color="auto" w:fill="auto"/>
            <w:tcMar>
              <w:top w:w="0" w:type="dxa"/>
              <w:left w:w="0" w:type="dxa"/>
              <w:bottom w:w="0" w:type="dxa"/>
              <w:right w:w="0" w:type="dxa"/>
            </w:tcMar>
          </w:tcPr>
          <w:p w14:paraId="1F0CDA79" w14:textId="77777777" w:rsidR="003D1F21" w:rsidRDefault="003D1F2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B2607E2" w14:textId="77777777" w:rsidR="003D1F21" w:rsidRDefault="003D1F2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D093E39" w14:textId="77777777" w:rsidR="003D1F21" w:rsidRDefault="003D1F21">
            <w:pPr>
              <w:keepNext/>
              <w:keepLines/>
              <w:spacing w:line="240" w:lineRule="auto"/>
              <w:rPr>
                <w:sz w:val="14"/>
                <w:szCs w:val="14"/>
              </w:rPr>
            </w:pPr>
          </w:p>
        </w:tc>
      </w:tr>
      <w:tr w:rsidR="003D1F21" w14:paraId="1BBE52F6" w14:textId="77777777">
        <w:tc>
          <w:tcPr>
            <w:tcW w:w="2444" w:type="pct"/>
            <w:tcBorders>
              <w:top w:val="nil"/>
              <w:left w:val="nil"/>
              <w:bottom w:val="nil"/>
              <w:right w:val="nil"/>
            </w:tcBorders>
            <w:shd w:val="clear" w:color="auto" w:fill="auto"/>
            <w:tcMar>
              <w:top w:w="0" w:type="dxa"/>
              <w:left w:w="0" w:type="dxa"/>
              <w:bottom w:w="0" w:type="dxa"/>
              <w:right w:w="0" w:type="dxa"/>
            </w:tcMar>
          </w:tcPr>
          <w:p w14:paraId="6C00F9FB" w14:textId="77777777" w:rsidR="003D1F21" w:rsidRDefault="00542E3C">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7C831588" w14:textId="77777777" w:rsidR="003D1F21" w:rsidRDefault="003D1F2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BDDEC48" w14:textId="77777777" w:rsidR="003D1F21" w:rsidRDefault="00542E3C">
            <w:pPr>
              <w:keepNext/>
              <w:keepLines/>
              <w:spacing w:line="240" w:lineRule="auto"/>
              <w:rPr>
                <w:sz w:val="14"/>
                <w:szCs w:val="14"/>
              </w:rPr>
            </w:pPr>
            <w:r>
              <w:rPr>
                <w:sz w:val="14"/>
                <w:szCs w:val="14"/>
              </w:rPr>
              <w:t>4.</w:t>
            </w:r>
          </w:p>
        </w:tc>
      </w:tr>
      <w:tr w:rsidR="003D1F21" w14:paraId="4570C48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F8161CF" w14:textId="77777777" w:rsidR="003D1F21" w:rsidRDefault="00542E3C">
            <w:pPr>
              <w:keepNext/>
              <w:keepLines/>
              <w:spacing w:line="240" w:lineRule="auto"/>
              <w:rPr>
                <w:sz w:val="14"/>
                <w:szCs w:val="14"/>
              </w:rPr>
            </w:pPr>
            <w:r>
              <w:rPr>
                <w:noProof/>
                <w:sz w:val="14"/>
                <w:szCs w:val="14"/>
              </w:rPr>
              <w:drawing>
                <wp:inline distT="0" distB="0" distL="0" distR="0" wp14:anchorId="4A81832B" wp14:editId="6591E77A">
                  <wp:extent cx="3023235" cy="160909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3235" cy="160909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192361D" w14:textId="77777777" w:rsidR="003D1F21" w:rsidRDefault="003D1F2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132D05F" w14:textId="77777777" w:rsidR="003D1F21" w:rsidRDefault="00542E3C">
            <w:pPr>
              <w:keepNext/>
              <w:keepLines/>
              <w:spacing w:line="240" w:lineRule="auto"/>
              <w:rPr>
                <w:sz w:val="14"/>
                <w:szCs w:val="14"/>
              </w:rPr>
            </w:pPr>
            <w:r>
              <w:rPr>
                <w:noProof/>
                <w:sz w:val="14"/>
                <w:szCs w:val="14"/>
              </w:rPr>
              <w:drawing>
                <wp:inline distT="0" distB="0" distL="0" distR="0" wp14:anchorId="296A31E0" wp14:editId="6A083032">
                  <wp:extent cx="3023235" cy="17399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3235" cy="1739900"/>
                          </a:xfrm>
                          <a:prstGeom prst="rect">
                            <a:avLst/>
                          </a:prstGeom>
                        </pic:spPr>
                      </pic:pic>
                    </a:graphicData>
                  </a:graphic>
                </wp:inline>
              </w:drawing>
            </w:r>
          </w:p>
        </w:tc>
      </w:tr>
    </w:tbl>
    <w:p w14:paraId="12310867" w14:textId="77777777" w:rsidR="003D1F21" w:rsidRDefault="00542E3C">
      <w:pPr>
        <w:spacing w:line="240" w:lineRule="auto"/>
      </w:pPr>
      <w:r>
        <w:br w:type="page"/>
      </w:r>
    </w:p>
    <w:p w14:paraId="7E1C0D37" w14:textId="77777777" w:rsidR="003D1F21" w:rsidRDefault="00542E3C">
      <w:pPr>
        <w:spacing w:line="240" w:lineRule="auto"/>
        <w:rPr>
          <w:sz w:val="17"/>
          <w:szCs w:val="17"/>
        </w:rPr>
      </w:pPr>
      <w:r>
        <w:rPr>
          <w:b/>
          <w:sz w:val="17"/>
          <w:szCs w:val="17"/>
        </w:rPr>
        <w:lastRenderedPageBreak/>
        <w:t>5</w:t>
      </w:r>
      <w:r>
        <w:rPr>
          <w:sz w:val="17"/>
          <w:szCs w:val="17"/>
        </w:rPr>
        <w:t xml:space="preserve"> Eine ganz neues Verbinder-Konzept Häfele: Ein Bauteil für viele Nutzungsmöglichkeiten — hier erkennbar im Funktionsschema des Universalverbinders </w:t>
      </w:r>
      <w:proofErr w:type="spellStart"/>
      <w:r>
        <w:rPr>
          <w:sz w:val="17"/>
          <w:szCs w:val="17"/>
        </w:rPr>
        <w:t>Ixconnect</w:t>
      </w:r>
      <w:proofErr w:type="spellEnd"/>
      <w:r>
        <w:rPr>
          <w:sz w:val="17"/>
          <w:szCs w:val="17"/>
        </w:rPr>
        <w:t xml:space="preserve"> UC 16/64, der auf der </w:t>
      </w:r>
      <w:proofErr w:type="spellStart"/>
      <w:r>
        <w:rPr>
          <w:sz w:val="17"/>
          <w:szCs w:val="17"/>
        </w:rPr>
        <w:t>interzum</w:t>
      </w:r>
      <w:proofErr w:type="spellEnd"/>
      <w:r>
        <w:rPr>
          <w:sz w:val="17"/>
          <w:szCs w:val="17"/>
        </w:rPr>
        <w:t xml:space="preserve"> gezeigt wird. Foto: Häfele</w:t>
      </w:r>
      <w:r>
        <w:rPr>
          <w:sz w:val="17"/>
          <w:szCs w:val="17"/>
        </w:rPr>
        <w:br/>
      </w:r>
    </w:p>
    <w:p w14:paraId="1533E0DB" w14:textId="77777777" w:rsidR="003D1F21" w:rsidRDefault="00542E3C">
      <w:pPr>
        <w:spacing w:line="240" w:lineRule="auto"/>
        <w:rPr>
          <w:sz w:val="17"/>
          <w:szCs w:val="17"/>
        </w:rPr>
      </w:pPr>
      <w:r>
        <w:rPr>
          <w:b/>
          <w:sz w:val="17"/>
          <w:szCs w:val="17"/>
        </w:rPr>
        <w:t>6</w:t>
      </w:r>
      <w:r>
        <w:rPr>
          <w:sz w:val="17"/>
          <w:szCs w:val="17"/>
        </w:rPr>
        <w:t xml:space="preserve"> Der kleine Alleskönner wurde von Häfele kreiert: Als komplexes Bauteil, das sich – kombiniert aus mehreren gleichen Teilen – für fast jede Art von Plattenverbindung nutzen lässt. Das ist in vielerlei Hinsicht eine ressourcenschonende Lösung, mit der Häfele seine Entwicklungskompetenz einmal mehr unter Beweis stellt. Foto: Häfele</w:t>
      </w:r>
      <w:r>
        <w:rPr>
          <w:sz w:val="17"/>
          <w:szCs w:val="17"/>
        </w:rPr>
        <w:br/>
      </w:r>
      <w:r>
        <w:rPr>
          <w:b/>
          <w:sz w:val="17"/>
          <w:szCs w:val="17"/>
        </w:rPr>
        <w:t>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D1F21" w14:paraId="09A6B851" w14:textId="77777777">
        <w:tc>
          <w:tcPr>
            <w:tcW w:w="2444" w:type="pct"/>
            <w:tcBorders>
              <w:top w:val="nil"/>
              <w:left w:val="nil"/>
              <w:bottom w:val="nil"/>
              <w:right w:val="nil"/>
            </w:tcBorders>
            <w:shd w:val="clear" w:color="auto" w:fill="auto"/>
            <w:tcMar>
              <w:top w:w="0" w:type="dxa"/>
              <w:left w:w="0" w:type="dxa"/>
              <w:bottom w:w="0" w:type="dxa"/>
              <w:right w:w="0" w:type="dxa"/>
            </w:tcMar>
          </w:tcPr>
          <w:p w14:paraId="0245FE5D" w14:textId="77777777" w:rsidR="003D1F21" w:rsidRDefault="00542E3C">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523BF03A" w14:textId="77777777" w:rsidR="003D1F21" w:rsidRDefault="003D1F2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07BD4FC" w14:textId="77777777" w:rsidR="003D1F21" w:rsidRDefault="00542E3C">
            <w:pPr>
              <w:keepNext/>
              <w:keepLines/>
              <w:spacing w:line="240" w:lineRule="auto"/>
              <w:rPr>
                <w:sz w:val="14"/>
                <w:szCs w:val="14"/>
              </w:rPr>
            </w:pPr>
            <w:r>
              <w:rPr>
                <w:sz w:val="14"/>
                <w:szCs w:val="14"/>
              </w:rPr>
              <w:t>6.</w:t>
            </w:r>
          </w:p>
        </w:tc>
      </w:tr>
      <w:tr w:rsidR="003D1F21" w14:paraId="1E6E547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BF9BD10" w14:textId="77777777" w:rsidR="003D1F21" w:rsidRDefault="00542E3C">
            <w:pPr>
              <w:keepNext/>
              <w:keepLines/>
              <w:spacing w:line="240" w:lineRule="auto"/>
              <w:rPr>
                <w:sz w:val="14"/>
                <w:szCs w:val="14"/>
              </w:rPr>
            </w:pPr>
            <w:r>
              <w:rPr>
                <w:noProof/>
                <w:sz w:val="14"/>
                <w:szCs w:val="14"/>
              </w:rPr>
              <w:drawing>
                <wp:inline distT="0" distB="0" distL="0" distR="0" wp14:anchorId="572DD57D" wp14:editId="146408C2">
                  <wp:extent cx="3023235" cy="137414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3023235" cy="137414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6D6ED26" w14:textId="77777777" w:rsidR="003D1F21" w:rsidRDefault="003D1F2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E549894" w14:textId="77777777" w:rsidR="003D1F21" w:rsidRDefault="00542E3C">
            <w:pPr>
              <w:keepNext/>
              <w:keepLines/>
              <w:spacing w:line="240" w:lineRule="auto"/>
              <w:rPr>
                <w:sz w:val="14"/>
                <w:szCs w:val="14"/>
              </w:rPr>
            </w:pPr>
            <w:r>
              <w:rPr>
                <w:noProof/>
                <w:sz w:val="14"/>
                <w:szCs w:val="14"/>
              </w:rPr>
              <w:drawing>
                <wp:inline distT="0" distB="0" distL="0" distR="0" wp14:anchorId="5CB0C6FA" wp14:editId="04CE501F">
                  <wp:extent cx="13436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343660" cy="2014220"/>
                          </a:xfrm>
                          <a:prstGeom prst="rect">
                            <a:avLst/>
                          </a:prstGeom>
                        </pic:spPr>
                      </pic:pic>
                    </a:graphicData>
                  </a:graphic>
                </wp:inline>
              </w:drawing>
            </w:r>
          </w:p>
        </w:tc>
      </w:tr>
      <w:tr w:rsidR="003D1F21" w14:paraId="4F7779D2" w14:textId="77777777">
        <w:tc>
          <w:tcPr>
            <w:tcW w:w="2444" w:type="pct"/>
            <w:tcBorders>
              <w:top w:val="nil"/>
              <w:left w:val="nil"/>
              <w:bottom w:val="nil"/>
              <w:right w:val="nil"/>
            </w:tcBorders>
            <w:shd w:val="clear" w:color="auto" w:fill="auto"/>
            <w:tcMar>
              <w:top w:w="0" w:type="dxa"/>
              <w:left w:w="0" w:type="dxa"/>
              <w:bottom w:w="0" w:type="dxa"/>
              <w:right w:w="0" w:type="dxa"/>
            </w:tcMar>
          </w:tcPr>
          <w:p w14:paraId="09AA0B08" w14:textId="77777777" w:rsidR="003D1F21" w:rsidRDefault="003D1F2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B75EA2D" w14:textId="77777777" w:rsidR="003D1F21" w:rsidRDefault="003D1F2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5A5A9FF" w14:textId="77777777" w:rsidR="003D1F21" w:rsidRDefault="003D1F21">
            <w:pPr>
              <w:keepNext/>
              <w:keepLines/>
              <w:spacing w:line="240" w:lineRule="auto"/>
              <w:rPr>
                <w:sz w:val="17"/>
                <w:szCs w:val="17"/>
              </w:rPr>
            </w:pPr>
          </w:p>
        </w:tc>
      </w:tr>
      <w:tr w:rsidR="003D1F21" w14:paraId="6DD018D9" w14:textId="77777777">
        <w:tc>
          <w:tcPr>
            <w:tcW w:w="2444" w:type="pct"/>
            <w:tcBorders>
              <w:top w:val="nil"/>
              <w:left w:val="nil"/>
              <w:bottom w:val="nil"/>
              <w:right w:val="nil"/>
            </w:tcBorders>
            <w:shd w:val="clear" w:color="auto" w:fill="auto"/>
            <w:tcMar>
              <w:top w:w="0" w:type="dxa"/>
              <w:left w:w="0" w:type="dxa"/>
              <w:bottom w:w="0" w:type="dxa"/>
              <w:right w:w="0" w:type="dxa"/>
            </w:tcMar>
          </w:tcPr>
          <w:p w14:paraId="3589537E" w14:textId="77777777" w:rsidR="003D1F21" w:rsidRDefault="003D1F2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054D952" w14:textId="77777777" w:rsidR="003D1F21" w:rsidRDefault="003D1F2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22202BF" w14:textId="77777777" w:rsidR="003D1F21" w:rsidRDefault="003D1F21">
            <w:pPr>
              <w:keepNext/>
              <w:keepLines/>
              <w:spacing w:line="240" w:lineRule="auto"/>
              <w:rPr>
                <w:sz w:val="17"/>
                <w:szCs w:val="17"/>
              </w:rPr>
            </w:pPr>
          </w:p>
        </w:tc>
      </w:tr>
      <w:tr w:rsidR="003D1F21" w14:paraId="0FB9BB7E" w14:textId="77777777">
        <w:tc>
          <w:tcPr>
            <w:tcW w:w="2444" w:type="pct"/>
            <w:tcBorders>
              <w:top w:val="nil"/>
              <w:left w:val="nil"/>
              <w:bottom w:val="nil"/>
              <w:right w:val="nil"/>
            </w:tcBorders>
            <w:shd w:val="clear" w:color="auto" w:fill="auto"/>
            <w:tcMar>
              <w:top w:w="0" w:type="dxa"/>
              <w:left w:w="0" w:type="dxa"/>
              <w:bottom w:w="0" w:type="dxa"/>
              <w:right w:w="0" w:type="dxa"/>
            </w:tcMar>
          </w:tcPr>
          <w:p w14:paraId="63563744" w14:textId="77777777" w:rsidR="003D1F21" w:rsidRDefault="003D1F2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D9314F9" w14:textId="77777777" w:rsidR="003D1F21" w:rsidRDefault="003D1F2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E989C88" w14:textId="77777777" w:rsidR="003D1F21" w:rsidRDefault="003D1F21">
            <w:pPr>
              <w:keepNext/>
              <w:keepLines/>
              <w:spacing w:line="240" w:lineRule="auto"/>
              <w:rPr>
                <w:sz w:val="17"/>
                <w:szCs w:val="17"/>
              </w:rPr>
            </w:pPr>
          </w:p>
        </w:tc>
      </w:tr>
    </w:tbl>
    <w:p w14:paraId="635A7915" w14:textId="77777777" w:rsidR="003D1F21" w:rsidRDefault="00542E3C">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D1F21" w14:paraId="32F5354B"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0E41032" w14:textId="77777777" w:rsidR="003D1F21" w:rsidRPr="0084709E" w:rsidRDefault="00542E3C">
            <w:pPr>
              <w:spacing w:before="240" w:after="240"/>
              <w:rPr>
                <w:sz w:val="20"/>
                <w:szCs w:val="20"/>
                <w:lang w:val="en-GB"/>
              </w:rPr>
            </w:pPr>
            <w:proofErr w:type="spellStart"/>
            <w:r w:rsidRPr="0084709E">
              <w:rPr>
                <w:b/>
                <w:sz w:val="20"/>
                <w:szCs w:val="20"/>
                <w:lang w:val="en-GB"/>
              </w:rPr>
              <w:lastRenderedPageBreak/>
              <w:t>Über</w:t>
            </w:r>
            <w:proofErr w:type="spellEnd"/>
            <w:r w:rsidRPr="0084709E">
              <w:rPr>
                <w:b/>
                <w:sz w:val="20"/>
                <w:szCs w:val="20"/>
                <w:lang w:val="en-GB"/>
              </w:rPr>
              <w:t xml:space="preserve"> </w:t>
            </w:r>
            <w:proofErr w:type="spellStart"/>
            <w:r w:rsidRPr="0084709E">
              <w:rPr>
                <w:b/>
                <w:sz w:val="20"/>
                <w:szCs w:val="20"/>
                <w:lang w:val="en-GB"/>
              </w:rPr>
              <w:t>Häfele</w:t>
            </w:r>
            <w:proofErr w:type="spellEnd"/>
          </w:p>
          <w:p w14:paraId="684E016A" w14:textId="77777777" w:rsidR="003D1F21" w:rsidRDefault="00542E3C">
            <w:pPr>
              <w:spacing w:before="240" w:after="240"/>
              <w:rPr>
                <w:sz w:val="20"/>
                <w:szCs w:val="20"/>
              </w:rPr>
            </w:pPr>
            <w:r w:rsidRPr="0084709E">
              <w:rPr>
                <w:b/>
                <w:sz w:val="20"/>
                <w:szCs w:val="20"/>
                <w:lang w:val="en-GB"/>
              </w:rPr>
              <w:t xml:space="preserve">Maximising the value of space. </w:t>
            </w:r>
            <w:proofErr w:type="spellStart"/>
            <w:r>
              <w:rPr>
                <w:b/>
                <w:sz w:val="20"/>
                <w:szCs w:val="20"/>
              </w:rPr>
              <w:t>Together</w:t>
            </w:r>
            <w:proofErr w:type="spellEnd"/>
            <w:r>
              <w:rPr>
                <w:b/>
                <w:sz w:val="20"/>
                <w:szCs w:val="20"/>
              </w:rPr>
              <w:t>.</w:t>
            </w:r>
          </w:p>
          <w:p w14:paraId="139922A4" w14:textId="77777777" w:rsidR="003D1F21" w:rsidRDefault="00542E3C">
            <w:pPr>
              <w:spacing w:before="240" w:after="240"/>
              <w:rPr>
                <w:sz w:val="20"/>
                <w:szCs w:val="20"/>
              </w:rPr>
            </w:pPr>
            <w:r>
              <w:rPr>
                <w:sz w:val="20"/>
                <w:szCs w:val="20"/>
              </w:rPr>
              <w:t xml:space="preserve">Lebenswerte, nachhaltige Raumkonzepte für die Wohn- und Arbeitswelten von morgen zu entwickeln, diesem Ziel hat sich Häfele </w:t>
            </w:r>
            <w:r>
              <w:rPr>
                <w:sz w:val="20"/>
                <w:szCs w:val="20"/>
              </w:rPr>
              <w:t>verschrieben. Gemeinsam mit seinen Partnern schafft Häfele ressourcenschonende, multifunktionale Lösungen bei höchstem Komfort.</w:t>
            </w:r>
          </w:p>
          <w:p w14:paraId="74D2ACF7" w14:textId="77777777" w:rsidR="003D1F21" w:rsidRDefault="00542E3C">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51427332" w14:textId="77777777" w:rsidR="003D1F21" w:rsidRDefault="00542E3C">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2024 erzielte die Häfele Gruppe einen Umsatz von 1,74 Mrd. Euro bei einem Exportanteil von 82%.</w:t>
            </w:r>
          </w:p>
          <w:p w14:paraId="7D4A1B8E" w14:textId="77777777" w:rsidR="003D1F21" w:rsidRDefault="00542E3C">
            <w:pPr>
              <w:spacing w:before="240" w:after="240"/>
              <w:rPr>
                <w:sz w:val="20"/>
                <w:szCs w:val="20"/>
              </w:rPr>
            </w:pPr>
            <w:r>
              <w:rPr>
                <w:sz w:val="20"/>
                <w:szCs w:val="20"/>
              </w:rPr>
              <w:t xml:space="preserve">Weitere Informationen unter </w:t>
            </w:r>
            <w:hyperlink r:id="rId14">
              <w:r>
                <w:rPr>
                  <w:rStyle w:val="Hyperlink"/>
                  <w:color w:val="000000"/>
                  <w:sz w:val="20"/>
                  <w:szCs w:val="20"/>
                </w:rPr>
                <w:t>www.haefele.de</w:t>
              </w:r>
            </w:hyperlink>
          </w:p>
          <w:p w14:paraId="1F1000FD" w14:textId="77777777" w:rsidR="003D1F21" w:rsidRDefault="00542E3C">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44029AB0" w14:textId="77777777" w:rsidR="003D1F21" w:rsidRDefault="00542E3C">
            <w:pPr>
              <w:rPr>
                <w:sz w:val="20"/>
                <w:szCs w:val="20"/>
              </w:rPr>
            </w:pPr>
            <w:r>
              <w:rPr>
                <w:sz w:val="20"/>
                <w:szCs w:val="20"/>
              </w:rPr>
              <w:br/>
            </w:r>
          </w:p>
        </w:tc>
      </w:tr>
      <w:tr w:rsidR="003D1F21" w14:paraId="6B0B583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040A528B" w14:textId="77777777" w:rsidR="003D1F21" w:rsidRDefault="003D1F2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B0D5F3D" w14:textId="77777777" w:rsidR="003D1F21" w:rsidRDefault="003D1F21">
            <w:pPr>
              <w:rPr>
                <w:sz w:val="20"/>
                <w:szCs w:val="20"/>
              </w:rPr>
            </w:pPr>
          </w:p>
        </w:tc>
      </w:tr>
    </w:tbl>
    <w:p w14:paraId="2D44F507" w14:textId="77777777" w:rsidR="003D1F21" w:rsidRDefault="00542E3C">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D1F21" w14:paraId="0C62CAC0"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978D181" w14:textId="77777777" w:rsidR="003D1F21" w:rsidRDefault="00542E3C">
            <w:pPr>
              <w:rPr>
                <w:sz w:val="20"/>
                <w:szCs w:val="20"/>
              </w:rPr>
            </w:pPr>
            <w:r>
              <w:rPr>
                <w:b/>
                <w:sz w:val="20"/>
                <w:szCs w:val="20"/>
              </w:rPr>
              <w:t xml:space="preserve">QR-Code der </w:t>
            </w:r>
            <w:r>
              <w:rPr>
                <w:b/>
                <w:sz w:val="20"/>
                <w:szCs w:val="20"/>
              </w:rPr>
              <w:t>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3B0A120A" w14:textId="77777777" w:rsidR="003D1F21" w:rsidRDefault="00542E3C">
            <w:pPr>
              <w:rPr>
                <w:sz w:val="20"/>
                <w:szCs w:val="20"/>
              </w:rPr>
            </w:pPr>
            <w:r>
              <w:rPr>
                <w:sz w:val="20"/>
                <w:szCs w:val="20"/>
              </w:rPr>
              <w:br/>
            </w:r>
          </w:p>
        </w:tc>
      </w:tr>
      <w:tr w:rsidR="003D1F21" w14:paraId="3E2DD20D"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508D54E" w14:textId="77777777" w:rsidR="003D1F21" w:rsidRDefault="003D1F2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EEBFBF5" w14:textId="77777777" w:rsidR="003D1F21" w:rsidRDefault="003D1F21">
            <w:pPr>
              <w:rPr>
                <w:sz w:val="20"/>
                <w:szCs w:val="20"/>
              </w:rPr>
            </w:pPr>
          </w:p>
        </w:tc>
      </w:tr>
    </w:tbl>
    <w:p w14:paraId="7EE013DC" w14:textId="77777777" w:rsidR="003D1F21" w:rsidRDefault="00542E3C">
      <w:r>
        <w:rPr>
          <w:noProof/>
          <w:sz w:val="18"/>
          <w:szCs w:val="18"/>
        </w:rPr>
        <w:drawing>
          <wp:inline distT="0" distB="0" distL="0" distR="0" wp14:anchorId="79E46CEE" wp14:editId="4B33E517">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1800860" cy="1800860"/>
                    </a:xfrm>
                    <a:prstGeom prst="rect">
                      <a:avLst/>
                    </a:prstGeom>
                  </pic:spPr>
                </pic:pic>
              </a:graphicData>
            </a:graphic>
          </wp:inline>
        </w:drawing>
      </w:r>
      <w:r>
        <w:rPr>
          <w:sz w:val="18"/>
          <w:szCs w:val="18"/>
        </w:rPr>
        <w:br/>
      </w:r>
    </w:p>
    <w:sectPr w:rsidR="003D1F21">
      <w:headerReference w:type="default" r:id="rId16"/>
      <w:footerReference w:type="default" r:id="rId17"/>
      <w:headerReference w:type="first" r:id="rId18"/>
      <w:footerReference w:type="first" r:id="rId19"/>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9717D" w14:textId="77777777" w:rsidR="00542E3C" w:rsidRDefault="00542E3C">
      <w:pPr>
        <w:spacing w:line="240" w:lineRule="auto"/>
      </w:pPr>
      <w:r>
        <w:separator/>
      </w:r>
    </w:p>
  </w:endnote>
  <w:endnote w:type="continuationSeparator" w:id="0">
    <w:p w14:paraId="502F2F78" w14:textId="77777777" w:rsidR="00542E3C" w:rsidRDefault="00542E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3D1F21" w14:paraId="7026414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14420AA" w14:textId="77777777" w:rsidR="003D1F21" w:rsidRDefault="003D1F2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DA5E3F0" w14:textId="77777777" w:rsidR="003D1F21" w:rsidRDefault="003D1F21">
          <w:pPr>
            <w:rPr>
              <w:sz w:val="14"/>
              <w:szCs w:val="14"/>
            </w:rPr>
          </w:pPr>
        </w:p>
      </w:tc>
    </w:tr>
  </w:tbl>
  <w:p w14:paraId="06A351DC" w14:textId="77777777" w:rsidR="003D1F21" w:rsidRDefault="003D1F2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D1F21" w14:paraId="0A94BDA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58041FC" w14:textId="77777777" w:rsidR="003D1F21" w:rsidRDefault="003D1F2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47012F9" w14:textId="77777777" w:rsidR="003D1F21" w:rsidRDefault="003D1F21">
          <w:pPr>
            <w:rPr>
              <w:sz w:val="14"/>
              <w:szCs w:val="14"/>
            </w:rPr>
          </w:pPr>
        </w:p>
      </w:tc>
    </w:tr>
  </w:tbl>
  <w:p w14:paraId="073CE91F" w14:textId="77777777" w:rsidR="003D1F21" w:rsidRDefault="003D1F2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53A64" w14:textId="77777777" w:rsidR="00542E3C" w:rsidRDefault="00542E3C">
      <w:pPr>
        <w:spacing w:line="240" w:lineRule="auto"/>
      </w:pPr>
      <w:r>
        <w:separator/>
      </w:r>
    </w:p>
  </w:footnote>
  <w:footnote w:type="continuationSeparator" w:id="0">
    <w:p w14:paraId="7D28FB24" w14:textId="77777777" w:rsidR="00542E3C" w:rsidRDefault="00542E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F3B88" w14:textId="77777777" w:rsidR="003D1F21" w:rsidRDefault="00542E3C">
    <w:r>
      <w:rPr>
        <w:noProof/>
      </w:rPr>
      <w:drawing>
        <wp:anchor distT="0" distB="0" distL="114300" distR="114300" simplePos="0" relativeHeight="251659264" behindDoc="0" locked="0" layoutInCell="0" allowOverlap="0" wp14:anchorId="244F3DDF" wp14:editId="0F055AAC">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E97C" w14:textId="77777777" w:rsidR="003D1F21" w:rsidRDefault="00542E3C">
    <w:r>
      <w:rPr>
        <w:noProof/>
      </w:rPr>
      <w:drawing>
        <wp:anchor distT="0" distB="0" distL="114300" distR="114300" simplePos="0" relativeHeight="251658240" behindDoc="0" locked="0" layoutInCell="0" allowOverlap="0" wp14:anchorId="5B7436F9" wp14:editId="146DDB08">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F21"/>
    <w:rsid w:val="002871EE"/>
    <w:rsid w:val="003D1F21"/>
    <w:rsid w:val="00542E3C"/>
    <w:rsid w:val="0084709E"/>
    <w:rsid w:val="00F43A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E5537"/>
  <w15:docId w15:val="{A2527D00-D15A-4687-B3FC-46B085A9E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haefele.de/de/info/industrie/kompetenzen/verpackungs-engineering/391/" TargetMode="Externa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s://www.haefele.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1105</Words>
  <Characters>6965</Characters>
  <Application>Microsoft Office Word</Application>
  <DocSecurity>0</DocSecurity>
  <Lines>58</Lines>
  <Paragraphs>16</Paragraphs>
  <ScaleCrop>false</ScaleCrop>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4</cp:revision>
  <dcterms:created xsi:type="dcterms:W3CDTF">2025-04-03T08:45:00Z</dcterms:created>
  <dcterms:modified xsi:type="dcterms:W3CDTF">2025-04-03T08:47:00Z</dcterms:modified>
</cp:coreProperties>
</file>