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F0BCF" w:rsidRDefault="00000000">
      <w:pPr>
        <w:rPr>
          <w:rFonts w:eastAsia="Arial"/>
          <w:sz w:val="8"/>
          <w:szCs w:val="8"/>
        </w:rPr>
      </w:pPr>
      <w:r>
        <w:rPr>
          <w:b/>
          <w:bCs/>
          <w:sz w:val="32"/>
          <w:szCs w:val="32"/>
        </w:rPr>
        <w:t xml:space="preserve">Häfele </w:t>
      </w:r>
      <w:proofErr w:type="spellStart"/>
      <w:r>
        <w:rPr>
          <w:b/>
          <w:bCs/>
          <w:sz w:val="32"/>
          <w:szCs w:val="32"/>
        </w:rPr>
        <w:t>Lighting</w:t>
      </w:r>
      <w:proofErr w:type="spellEnd"/>
      <w:r>
        <w:rPr>
          <w:b/>
          <w:bCs/>
          <w:sz w:val="32"/>
          <w:szCs w:val="32"/>
        </w:rPr>
        <w:t>: Licht macht den Innenausbau komplett</w:t>
      </w:r>
      <w:r>
        <w:rPr>
          <w:b/>
          <w:bCs/>
          <w:sz w:val="32"/>
          <w:szCs w:val="32"/>
        </w:rPr>
        <w:br/>
      </w:r>
      <w:r>
        <w:rPr>
          <w:rFonts w:eastAsia="Arial"/>
        </w:rPr>
        <w:t xml:space="preserve">Licht gewinnt im Möbel- und Innenausbau weiter an Bedeutung. Deshalb rückt Häfele das Thema zur Holz-Handwerk erneut in den Fokus – mit seiner Marke Häfele </w:t>
      </w:r>
      <w:proofErr w:type="spellStart"/>
      <w:r>
        <w:rPr>
          <w:rFonts w:eastAsia="Arial"/>
        </w:rPr>
        <w:t>Lighting</w:t>
      </w:r>
      <w:proofErr w:type="spellEnd"/>
      <w:r>
        <w:rPr>
          <w:rFonts w:eastAsia="Arial"/>
        </w:rPr>
        <w:t>.</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8F0BCF">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8F0BCF"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7"/>
                          <a:srcRect/>
                          <a:stretch>
                            <a:fillRect/>
                          </a:stretch>
                        </pic:blipFill>
                        <pic:spPr>
                          <a:xfrm>
                            <a:off x="0" y="0"/>
                            <a:ext cx="3995420" cy="2663825"/>
                          </a:xfrm>
                          <a:prstGeom prst="rect">
                            <a:avLst/>
                          </a:prstGeom>
                        </pic:spPr>
                      </pic:pic>
                    </a:graphicData>
                  </a:graphic>
                </wp:inline>
              </w:drawing>
            </w:r>
          </w:p>
        </w:tc>
      </w:tr>
    </w:tbl>
    <w:p w:rsidR="008F0BCF"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8F0BCF">
        <w:tc>
          <w:tcPr>
            <w:tcW w:w="3500" w:type="pct"/>
            <w:gridSpan w:val="2"/>
            <w:tcBorders>
              <w:top w:val="nil"/>
              <w:left w:val="nil"/>
              <w:bottom w:val="nil"/>
              <w:right w:val="nil"/>
            </w:tcBorders>
            <w:shd w:val="clear" w:color="auto" w:fill="auto"/>
            <w:tcMar>
              <w:top w:w="0" w:type="dxa"/>
              <w:left w:w="0" w:type="dxa"/>
              <w:bottom w:w="0" w:type="dxa"/>
              <w:right w:w="227" w:type="dxa"/>
            </w:tcMar>
          </w:tcPr>
          <w:p w:rsidR="008F0BCF" w:rsidRDefault="00000000">
            <w:pPr>
              <w:spacing w:after="240"/>
              <w:rPr>
                <w:sz w:val="20"/>
                <w:szCs w:val="20"/>
              </w:rPr>
            </w:pPr>
            <w:r>
              <w:rPr>
                <w:i/>
                <w:sz w:val="20"/>
                <w:szCs w:val="20"/>
              </w:rPr>
              <w:t xml:space="preserve">Häfele versteht Licht nicht einfach als „Produkt“. Vielmehr gestaltet Licht Möbel, prägt Räume und schafft Atmosphäre. Als Gestaltungselement schafft Licht den ständigen Dialog zwischen Möbeln, Einbauten und Raum und sorgt für ein integratives, emotionales Zusammenspiel – für Räume, die funktional und gleichzeitig spürbar lebendig sind. Zur Holz-Handwerk 2026 präsentiert der internationale Spezialist für Beschlagtechnik, elektronische Schließsysteme, Beleuchtung und Vernetzung den neuen Häfele </w:t>
            </w:r>
            <w:proofErr w:type="spellStart"/>
            <w:r>
              <w:rPr>
                <w:i/>
                <w:sz w:val="20"/>
                <w:szCs w:val="20"/>
              </w:rPr>
              <w:t>Lighting</w:t>
            </w:r>
            <w:proofErr w:type="spellEnd"/>
            <w:r>
              <w:rPr>
                <w:i/>
                <w:sz w:val="20"/>
                <w:szCs w:val="20"/>
              </w:rPr>
              <w:t xml:space="preserve"> Katalog mit inspirierenden Projektbeispielen, umfassender Produktübersicht und praxisnahem Wissen für stimmige Lichtplanung. Zusätzlich bietet er einen kompakten Überblick über die Service+ Angebote – von individueller Lichtplanung über Linearleuchten auf Maß bis hin zu Schulungen in der Häfele Akademie.</w:t>
            </w:r>
          </w:p>
          <w:p w:rsidR="008F0BCF" w:rsidRDefault="00000000">
            <w:pPr>
              <w:spacing w:after="240"/>
              <w:rPr>
                <w:sz w:val="20"/>
                <w:szCs w:val="20"/>
              </w:rPr>
            </w:pPr>
            <w:r>
              <w:rPr>
                <w:sz w:val="20"/>
                <w:szCs w:val="20"/>
              </w:rPr>
              <w:t>Ob Küche, Ankleide, Hotel oder Shop – Licht entscheidet über Wirkung, Atmosphäre und Funktionalität. Wer als Schreiner oder Tischler heute ganzheitliche Innenausbaukonzepte anbietet, kommt an stimmiger Beleuchtung nicht vorbei. Gleichzeitig steigen die Anforderungen: Digitalisierung, Fachkräftemangel und wirtschaftliche Unsicherheit prägen den Alltag.</w:t>
            </w:r>
          </w:p>
          <w:p w:rsidR="008F0BCF" w:rsidRDefault="00000000">
            <w:pPr>
              <w:spacing w:after="240"/>
              <w:rPr>
                <w:sz w:val="20"/>
                <w:szCs w:val="20"/>
              </w:rPr>
            </w:pPr>
            <w:r>
              <w:rPr>
                <w:sz w:val="20"/>
                <w:szCs w:val="20"/>
              </w:rPr>
              <w:t xml:space="preserve">An diesem kritischen Punkt setzt Häfele </w:t>
            </w:r>
            <w:proofErr w:type="spellStart"/>
            <w:r>
              <w:rPr>
                <w:sz w:val="20"/>
                <w:szCs w:val="20"/>
              </w:rPr>
              <w:t>Lighting</w:t>
            </w:r>
            <w:proofErr w:type="spellEnd"/>
            <w:r>
              <w:rPr>
                <w:sz w:val="20"/>
                <w:szCs w:val="20"/>
              </w:rPr>
              <w:t xml:space="preserve"> an. Unter dieser Marke bündelt Häfele die komplette Kompetenz rund um die Entwicklung und Integration innovativer Lichtlösungen für die individuelle Möbelfertigung im Handwerk. Ziel ist es, gemeinsam mit Tischlern und Schreinern tragfähige Konzepte für die Zukunft zu entwickeln. „Dabei handelt es sich in erster Linie um Systemlösungen, die Produkt und Service intelligent verbinden“, erläutert Rico Marquardt, Regionaldirektor Häfele Deutschland.</w:t>
            </w:r>
          </w:p>
          <w:p w:rsidR="008F0BCF" w:rsidRDefault="00000000">
            <w:pPr>
              <w:spacing w:after="240"/>
              <w:rPr>
                <w:sz w:val="20"/>
                <w:szCs w:val="20"/>
              </w:rPr>
            </w:pPr>
            <w:r>
              <w:rPr>
                <w:b/>
                <w:sz w:val="20"/>
                <w:szCs w:val="20"/>
              </w:rPr>
              <w:lastRenderedPageBreak/>
              <w:t>„Häfele kümmert sich.“ – Plus-Services entlang des gesamten Betriebsablaufs</w:t>
            </w:r>
          </w:p>
          <w:p w:rsidR="008F0BCF" w:rsidRDefault="00000000">
            <w:pPr>
              <w:spacing w:after="240"/>
              <w:rPr>
                <w:sz w:val="20"/>
                <w:szCs w:val="20"/>
              </w:rPr>
            </w:pPr>
            <w:r>
              <w:rPr>
                <w:sz w:val="20"/>
                <w:szCs w:val="20"/>
              </w:rPr>
              <w:t>„Wir kümmern uns!“ – so lautet das Versprechen, das Häfele mit seinen Plus-Services auch im Bereich Licht einlöst. Die Plus-Services orientieren sich konsequent am Arbeitsalltag der Betriebe – von der Idee über die Planung und Produktion bis hin zur Montage und Wartung. „Das Ergebnis sind Lichtprojekte, die in Zusammenarbeit mit Häfele planbar, sicher und effizient umsetzbar sind“, weiß Frank Schlosser, Leitung Planungscenter, aus zahlreichen Gesprächen mit Partnern vor Ort.</w:t>
            </w:r>
          </w:p>
          <w:p w:rsidR="008F0BCF" w:rsidRDefault="00000000">
            <w:pPr>
              <w:spacing w:after="240"/>
              <w:rPr>
                <w:sz w:val="20"/>
                <w:szCs w:val="20"/>
              </w:rPr>
            </w:pPr>
            <w:r>
              <w:rPr>
                <w:sz w:val="20"/>
                <w:szCs w:val="20"/>
              </w:rPr>
              <w:t>Vier klar strukturierte Service-Säulen schaffen Übersicht und konkrete Unterstützung:</w:t>
            </w:r>
          </w:p>
          <w:p w:rsidR="008F0BCF" w:rsidRPr="00CB2A5A" w:rsidRDefault="00000000" w:rsidP="00CB2A5A">
            <w:pPr>
              <w:pStyle w:val="Listenabsatz"/>
              <w:numPr>
                <w:ilvl w:val="0"/>
                <w:numId w:val="5"/>
              </w:numPr>
              <w:rPr>
                <w:sz w:val="20"/>
                <w:szCs w:val="20"/>
              </w:rPr>
            </w:pPr>
            <w:r w:rsidRPr="00CB2A5A">
              <w:rPr>
                <w:b/>
                <w:sz w:val="20"/>
                <w:szCs w:val="20"/>
              </w:rPr>
              <w:t>Wissen</w:t>
            </w:r>
            <w:r w:rsidRPr="00CB2A5A">
              <w:rPr>
                <w:sz w:val="20"/>
                <w:szCs w:val="20"/>
              </w:rPr>
              <w:br/>
              <w:t xml:space="preserve">Mit Schulungen der Häfele Akademie werden und bleiben Betriebe „fit für die Zukunft“. Vermittelt werden technisches Lichtwissen, Lichtwirkung und aktuelle Trends – im Schulungszentrum, beim Kunden vor Ort oder mit dem neuen Häfele </w:t>
            </w:r>
            <w:proofErr w:type="spellStart"/>
            <w:r w:rsidRPr="00CB2A5A">
              <w:rPr>
                <w:sz w:val="20"/>
                <w:szCs w:val="20"/>
              </w:rPr>
              <w:t>Lighting</w:t>
            </w:r>
            <w:proofErr w:type="spellEnd"/>
            <w:r w:rsidRPr="00CB2A5A">
              <w:rPr>
                <w:sz w:val="20"/>
                <w:szCs w:val="20"/>
              </w:rPr>
              <w:t xml:space="preserve"> Mobil.</w:t>
            </w:r>
          </w:p>
          <w:p w:rsidR="008F0BCF" w:rsidRPr="00CB2A5A" w:rsidRDefault="00000000" w:rsidP="00CB2A5A">
            <w:pPr>
              <w:pStyle w:val="Listenabsatz"/>
              <w:numPr>
                <w:ilvl w:val="0"/>
                <w:numId w:val="5"/>
              </w:numPr>
              <w:rPr>
                <w:sz w:val="20"/>
                <w:szCs w:val="20"/>
              </w:rPr>
            </w:pPr>
            <w:r w:rsidRPr="00CB2A5A">
              <w:rPr>
                <w:b/>
                <w:sz w:val="20"/>
                <w:szCs w:val="20"/>
              </w:rPr>
              <w:t>Planung</w:t>
            </w:r>
            <w:r w:rsidRPr="00CB2A5A">
              <w:rPr>
                <w:sz w:val="20"/>
                <w:szCs w:val="20"/>
              </w:rPr>
              <w:br/>
              <w:t>Häfele Experten unterstützen bei der professionellen Lichtplanung: von Empfehlungen zur Lichtwirkung und zu Beleuchtungsszenen über Stücklisten bis zum montagefertigen Plan. So wird aus einer Idee ein realisierbares, wirtschaftliches Konzept.</w:t>
            </w:r>
          </w:p>
          <w:p w:rsidR="008F0BCF" w:rsidRPr="00CB2A5A" w:rsidRDefault="00000000" w:rsidP="00CB2A5A">
            <w:pPr>
              <w:pStyle w:val="Listenabsatz"/>
              <w:numPr>
                <w:ilvl w:val="0"/>
                <w:numId w:val="5"/>
              </w:numPr>
              <w:rPr>
                <w:sz w:val="20"/>
                <w:szCs w:val="20"/>
              </w:rPr>
            </w:pPr>
            <w:r w:rsidRPr="00CB2A5A">
              <w:rPr>
                <w:b/>
                <w:sz w:val="20"/>
                <w:szCs w:val="20"/>
              </w:rPr>
              <w:t>Maßgeschneidert</w:t>
            </w:r>
            <w:r w:rsidRPr="00CB2A5A">
              <w:rPr>
                <w:sz w:val="20"/>
                <w:szCs w:val="20"/>
              </w:rPr>
              <w:br/>
              <w:t>Vorgefertigte, individuelle Lösungen – etwa Linearleuchten oder vorkonfektionierte Komponenten – sind bereits ab Losgröße 1 erhältlich. Das spart Zeit in der Fertigung, reduziert Lagerbedarf und minimiert Fehlerquellen.</w:t>
            </w:r>
          </w:p>
          <w:p w:rsidR="008F0BCF" w:rsidRPr="00CB2A5A" w:rsidRDefault="00000000" w:rsidP="00CB2A5A">
            <w:pPr>
              <w:pStyle w:val="Listenabsatz"/>
              <w:numPr>
                <w:ilvl w:val="0"/>
                <w:numId w:val="5"/>
              </w:numPr>
              <w:rPr>
                <w:sz w:val="20"/>
                <w:szCs w:val="20"/>
              </w:rPr>
            </w:pPr>
            <w:r w:rsidRPr="00CB2A5A">
              <w:rPr>
                <w:b/>
                <w:sz w:val="20"/>
                <w:szCs w:val="20"/>
              </w:rPr>
              <w:t>Assist</w:t>
            </w:r>
            <w:r w:rsidRPr="00CB2A5A">
              <w:rPr>
                <w:sz w:val="20"/>
                <w:szCs w:val="20"/>
              </w:rPr>
              <w:br/>
              <w:t>Ob telefonisch oder vor Ort: Bei Montagefragen, unerwarteten Herausforderungen auf der Baustelle oder bei Wartung und Instandhaltung steht Häfele unterstützend zur Seite.</w:t>
            </w:r>
          </w:p>
          <w:p w:rsidR="00CB2A5A" w:rsidRDefault="00CB2A5A">
            <w:pPr>
              <w:spacing w:after="240"/>
              <w:rPr>
                <w:b/>
                <w:sz w:val="20"/>
                <w:szCs w:val="20"/>
              </w:rPr>
            </w:pPr>
          </w:p>
          <w:p w:rsidR="008F0BCF" w:rsidRDefault="00000000">
            <w:pPr>
              <w:spacing w:after="240"/>
              <w:rPr>
                <w:sz w:val="20"/>
                <w:szCs w:val="20"/>
              </w:rPr>
            </w:pPr>
            <w:r>
              <w:rPr>
                <w:b/>
                <w:sz w:val="20"/>
                <w:szCs w:val="20"/>
              </w:rPr>
              <w:t>Wenn sich der Bauherr ein „Extra“ wünscht</w:t>
            </w:r>
          </w:p>
          <w:p w:rsidR="008F0BCF" w:rsidRDefault="00000000">
            <w:pPr>
              <w:spacing w:after="240"/>
              <w:rPr>
                <w:sz w:val="20"/>
                <w:szCs w:val="20"/>
              </w:rPr>
            </w:pPr>
            <w:r>
              <w:rPr>
                <w:sz w:val="20"/>
                <w:szCs w:val="20"/>
              </w:rPr>
              <w:t xml:space="preserve">Wird eine Lichtplanung als Teil der Möbelgestaltung benötigt? Oder wünscht sich ein Bauherr ein gewisses „Extra“? Darauf können Handwerksbetriebe mit Häfele als Partner souverän reagieren. Auf Wunsch liefert Häfele maßgeschneiderte Vorschläge, </w:t>
            </w:r>
            <w:proofErr w:type="gramStart"/>
            <w:r>
              <w:rPr>
                <w:sz w:val="20"/>
                <w:szCs w:val="20"/>
              </w:rPr>
              <w:t>inklusive Schaltplänen</w:t>
            </w:r>
            <w:proofErr w:type="gramEnd"/>
            <w:r>
              <w:rPr>
                <w:sz w:val="20"/>
                <w:szCs w:val="20"/>
              </w:rPr>
              <w:t xml:space="preserve"> und Stücklisten – abgestimmt auf Möbel und Raum.</w:t>
            </w:r>
          </w:p>
          <w:p w:rsidR="008F0BCF" w:rsidRDefault="00000000">
            <w:pPr>
              <w:spacing w:after="240"/>
              <w:rPr>
                <w:sz w:val="20"/>
                <w:szCs w:val="20"/>
              </w:rPr>
            </w:pPr>
            <w:r>
              <w:rPr>
                <w:sz w:val="20"/>
                <w:szCs w:val="20"/>
              </w:rPr>
              <w:t xml:space="preserve">„So werden beispielsweise für größere Küchenprojekte oft individuelle Fronten oder LED-Linearleuchten auf Maß benötigt. Service+ Maßgeschneidert liefert diese exakt nach Schreiner-Vorgabe. Das </w:t>
            </w:r>
            <w:r>
              <w:rPr>
                <w:sz w:val="20"/>
                <w:szCs w:val="20"/>
              </w:rPr>
              <w:lastRenderedPageBreak/>
              <w:t>verringert den Lagerbedarf und spart wertvolle Zeit“, bestätigt Stephan Koch, Teamleitung Produktexperten Beleuchtung.</w:t>
            </w:r>
          </w:p>
          <w:p w:rsidR="008F0BCF" w:rsidRDefault="00000000">
            <w:pPr>
              <w:spacing w:after="240"/>
              <w:rPr>
                <w:sz w:val="20"/>
                <w:szCs w:val="20"/>
              </w:rPr>
            </w:pPr>
            <w:r>
              <w:rPr>
                <w:b/>
                <w:sz w:val="20"/>
                <w:szCs w:val="20"/>
              </w:rPr>
              <w:t xml:space="preserve">Inspirationsquelle und Praxiswissen: Der neue Häfele </w:t>
            </w:r>
            <w:proofErr w:type="spellStart"/>
            <w:r>
              <w:rPr>
                <w:b/>
                <w:sz w:val="20"/>
                <w:szCs w:val="20"/>
              </w:rPr>
              <w:t>Lighting</w:t>
            </w:r>
            <w:proofErr w:type="spellEnd"/>
            <w:r>
              <w:rPr>
                <w:b/>
                <w:sz w:val="20"/>
                <w:szCs w:val="20"/>
              </w:rPr>
              <w:t xml:space="preserve"> Katalog</w:t>
            </w:r>
          </w:p>
          <w:p w:rsidR="008F0BCF" w:rsidRDefault="00000000">
            <w:pPr>
              <w:spacing w:after="240"/>
              <w:rPr>
                <w:sz w:val="20"/>
                <w:szCs w:val="20"/>
              </w:rPr>
            </w:pPr>
            <w:r>
              <w:rPr>
                <w:sz w:val="20"/>
                <w:szCs w:val="20"/>
              </w:rPr>
              <w:t xml:space="preserve">Zur Holz-Handwerk 2026 präsentiert Häfele den neuen Häfele </w:t>
            </w:r>
            <w:proofErr w:type="spellStart"/>
            <w:r>
              <w:rPr>
                <w:sz w:val="20"/>
                <w:szCs w:val="20"/>
              </w:rPr>
              <w:t>Lighting</w:t>
            </w:r>
            <w:proofErr w:type="spellEnd"/>
            <w:r>
              <w:rPr>
                <w:sz w:val="20"/>
                <w:szCs w:val="20"/>
              </w:rPr>
              <w:t xml:space="preserve"> Katalog. Das übersichtliche und ansprechend gestaltete Nachschlagewerk bündelt praxisnahes Lichtwissen von der passenden Lichtfarbe bis zur optimalen Integration von Licht im Möbel und Licht im Raum. Das klar gegliederte Sortiment für Möbel- und Raumbeleuchtung ermöglicht eine schnelle Orientierung und gezielte Produktauswahl. Kompakt aufbereitete Informationen zu Licht, Steuerung und Stromversorgung reduzieren den Planungsaufwand. Ergänzend bietet der Katalog einen strukturierten Überblick über die Service-Plus Leistungen, die von individueller Lichtplanung über maßgefertigte Linearleuchten bis hin zu Schulungsangeboten reichen.</w:t>
            </w:r>
          </w:p>
          <w:p w:rsidR="008F0BCF" w:rsidRDefault="00000000">
            <w:pPr>
              <w:spacing w:after="240"/>
              <w:rPr>
                <w:sz w:val="20"/>
                <w:szCs w:val="20"/>
              </w:rPr>
            </w:pPr>
            <w:r>
              <w:rPr>
                <w:b/>
                <w:sz w:val="20"/>
                <w:szCs w:val="20"/>
              </w:rPr>
              <w:t>Lichtwissen, Planungssicherheit und persönliche Unterstützung</w:t>
            </w:r>
          </w:p>
          <w:p w:rsidR="008F0BCF" w:rsidRDefault="00000000">
            <w:pPr>
              <w:spacing w:after="240"/>
              <w:rPr>
                <w:sz w:val="20"/>
                <w:szCs w:val="20"/>
              </w:rPr>
            </w:pPr>
            <w:r>
              <w:rPr>
                <w:sz w:val="20"/>
                <w:szCs w:val="20"/>
              </w:rPr>
              <w:t>Wer Lichtkompetenz aktiv anbietet, stärkt seine Position gegenüber dem Endkunden. Mit diesem Schritt werden Tischler und Schreiner zur zentralen Anlaufstelle für Innenausbau und Beleuchtung und erweitern ihre Wertschöpfung von der fundierten Planung bis zur professionellen Umsetzung des Gesamtkonzepts.</w:t>
            </w:r>
          </w:p>
          <w:p w:rsidR="008F0BCF" w:rsidRDefault="00000000">
            <w:pPr>
              <w:spacing w:after="240"/>
              <w:rPr>
                <w:sz w:val="20"/>
                <w:szCs w:val="20"/>
              </w:rPr>
            </w:pPr>
            <w:r>
              <w:rPr>
                <w:sz w:val="20"/>
                <w:szCs w:val="20"/>
              </w:rPr>
              <w:t>Häfele reduziert dabei Reibungsverluste durch einen klaren System- und Partneransatz. Betriebe müssen die Umsetzung anspruchsvoller Lichtlösungen nicht allein stemmen. Sie bekommen von Häfele Lichtwissen, Planungssicherheit und persönliche Unterstützung. Außerdem können sie auf Basis des hohen Vorfertigungsgrads in kürzerer Zeit individuelle Lösungen realisieren.</w:t>
            </w:r>
          </w:p>
          <w:p w:rsidR="008F0BCF" w:rsidRDefault="00000000">
            <w:pPr>
              <w:spacing w:after="240"/>
              <w:rPr>
                <w:sz w:val="20"/>
                <w:szCs w:val="20"/>
              </w:rPr>
            </w:pPr>
            <w:r>
              <w:rPr>
                <w:sz w:val="20"/>
                <w:szCs w:val="20"/>
              </w:rPr>
              <w:t xml:space="preserve">So bleibt das Handwerk wertvoll, inspirierend und verlässlich, und Häfele kann seinen Kunden überzeugend vermitteln: „Bei uns bekommt ihr alles aus einer Hand. Mit Häfele </w:t>
            </w:r>
            <w:proofErr w:type="spellStart"/>
            <w:r>
              <w:rPr>
                <w:sz w:val="20"/>
                <w:szCs w:val="20"/>
              </w:rPr>
              <w:t>Lighting</w:t>
            </w:r>
            <w:proofErr w:type="spellEnd"/>
            <w:r>
              <w:rPr>
                <w:sz w:val="20"/>
                <w:szCs w:val="20"/>
              </w:rPr>
              <w:t xml:space="preserve"> als starkem Partner“, so Stephan Koch.</w:t>
            </w:r>
          </w:p>
          <w:p w:rsidR="008F0BCF" w:rsidRDefault="00000000">
            <w:pPr>
              <w:rPr>
                <w:sz w:val="20"/>
                <w:szCs w:val="20"/>
              </w:rPr>
            </w:pPr>
            <w:r>
              <w:rPr>
                <w:sz w:val="20"/>
                <w:szCs w:val="20"/>
              </w:rPr>
              <w:t>Nagold, März 2026</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8F0BCF" w:rsidRDefault="00000000">
            <w:pPr>
              <w:spacing w:after="240"/>
              <w:rPr>
                <w:sz w:val="20"/>
                <w:szCs w:val="20"/>
              </w:rPr>
            </w:pPr>
            <w:r>
              <w:rPr>
                <w:b/>
                <w:sz w:val="20"/>
                <w:szCs w:val="20"/>
              </w:rPr>
              <w:lastRenderedPageBreak/>
              <w:t>Ansprechpartner für Journalisten:</w:t>
            </w:r>
            <w:r>
              <w:rPr>
                <w:b/>
                <w:sz w:val="20"/>
                <w:szCs w:val="20"/>
              </w:rPr>
              <w:br/>
            </w:r>
            <w:r>
              <w:rPr>
                <w:sz w:val="20"/>
                <w:szCs w:val="20"/>
              </w:rPr>
              <w:t xml:space="preserve">Susanne </w:t>
            </w:r>
            <w:proofErr w:type="spellStart"/>
            <w:r>
              <w:rPr>
                <w:sz w:val="20"/>
                <w:szCs w:val="20"/>
              </w:rPr>
              <w:t>Dubbert</w:t>
            </w:r>
            <w:proofErr w:type="spellEnd"/>
            <w:r>
              <w:rPr>
                <w:sz w:val="20"/>
                <w:szCs w:val="20"/>
              </w:rPr>
              <w:br/>
              <w:t>bering*</w:t>
            </w:r>
            <w:proofErr w:type="spellStart"/>
            <w:r>
              <w:rPr>
                <w:sz w:val="20"/>
                <w:szCs w:val="20"/>
              </w:rPr>
              <w:t>kopal</w:t>
            </w:r>
            <w:proofErr w:type="spellEnd"/>
            <w:r>
              <w:rPr>
                <w:sz w:val="20"/>
                <w:szCs w:val="20"/>
              </w:rPr>
              <w:t xml:space="preserve"> GbR, Büro für Kommunikation</w:t>
            </w:r>
            <w:r>
              <w:rPr>
                <w:sz w:val="20"/>
                <w:szCs w:val="20"/>
              </w:rPr>
              <w:br/>
              <w:t>T + 49 (0) 711 74 51 759-13</w:t>
            </w:r>
            <w:r>
              <w:rPr>
                <w:sz w:val="20"/>
                <w:szCs w:val="20"/>
              </w:rPr>
              <w:br/>
              <w:t>susanne.dubbert@bering-kopal.de</w:t>
            </w:r>
            <w:r>
              <w:rPr>
                <w:sz w:val="20"/>
                <w:szCs w:val="20"/>
              </w:rPr>
              <w:br/>
              <w:t>www.bering-kopal.de</w:t>
            </w:r>
          </w:p>
          <w:p w:rsidR="008F0BCF" w:rsidRDefault="00000000">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rsidR="008F0BCF" w:rsidRDefault="00000000">
            <w:pPr>
              <w:spacing w:after="240"/>
              <w:rPr>
                <w:sz w:val="20"/>
                <w:szCs w:val="20"/>
              </w:rPr>
            </w:pPr>
            <w:r>
              <w:rPr>
                <w:sz w:val="20"/>
                <w:szCs w:val="20"/>
              </w:rPr>
              <w:t> </w:t>
            </w:r>
          </w:p>
          <w:p w:rsidR="008F0BCF" w:rsidRDefault="00000000">
            <w:pPr>
              <w:rPr>
                <w:sz w:val="20"/>
                <w:szCs w:val="20"/>
              </w:rPr>
            </w:pPr>
            <w:r>
              <w:rPr>
                <w:sz w:val="20"/>
                <w:szCs w:val="20"/>
              </w:rPr>
              <w:t> </w:t>
            </w:r>
          </w:p>
        </w:tc>
      </w:tr>
      <w:tr w:rsidR="008F0BCF">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8F0BCF" w:rsidRDefault="008F0BCF">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8F0BCF" w:rsidRDefault="008F0BCF">
            <w:pPr>
              <w:rPr>
                <w:sz w:val="20"/>
                <w:szCs w:val="20"/>
              </w:rPr>
            </w:pPr>
          </w:p>
        </w:tc>
      </w:tr>
    </w:tbl>
    <w:p w:rsidR="008F0BCF" w:rsidRDefault="00000000">
      <w:r>
        <w:br w:type="page"/>
      </w:r>
    </w:p>
    <w:p w:rsidR="008F0BCF" w:rsidRDefault="00000000">
      <w:pPr>
        <w:spacing w:line="240" w:lineRule="auto"/>
        <w:rPr>
          <w:sz w:val="17"/>
          <w:szCs w:val="17"/>
        </w:rPr>
      </w:pPr>
      <w:r>
        <w:rPr>
          <w:b/>
          <w:sz w:val="17"/>
          <w:szCs w:val="17"/>
        </w:rPr>
        <w:lastRenderedPageBreak/>
        <w:t>1</w:t>
      </w:r>
      <w:r>
        <w:rPr>
          <w:sz w:val="17"/>
          <w:szCs w:val="17"/>
        </w:rPr>
        <w:t xml:space="preserve"> Häfele </w:t>
      </w:r>
      <w:proofErr w:type="spellStart"/>
      <w:r>
        <w:rPr>
          <w:sz w:val="17"/>
          <w:szCs w:val="17"/>
        </w:rPr>
        <w:t>Lighting</w:t>
      </w:r>
      <w:proofErr w:type="spellEnd"/>
      <w:r>
        <w:rPr>
          <w:sz w:val="17"/>
          <w:szCs w:val="17"/>
        </w:rPr>
        <w:t xml:space="preserve"> verbindet Möbelbau und Beleuchtung zu durchdachten Systemlösungen. Mit praxisnahem Lichtwissen unterstützt Häfele das Schreiner- und Tischlerhandwerk dabei, Beleuchtung in Projekte zu integrieren. Foto: Häfele</w:t>
      </w:r>
      <w:r>
        <w:rPr>
          <w:sz w:val="17"/>
          <w:szCs w:val="17"/>
        </w:rPr>
        <w:br/>
      </w:r>
    </w:p>
    <w:p w:rsidR="008F0BCF" w:rsidRDefault="00000000">
      <w:pPr>
        <w:spacing w:line="240" w:lineRule="auto"/>
        <w:rPr>
          <w:sz w:val="17"/>
          <w:szCs w:val="17"/>
        </w:rPr>
      </w:pPr>
      <w:r>
        <w:rPr>
          <w:b/>
          <w:sz w:val="17"/>
          <w:szCs w:val="17"/>
        </w:rPr>
        <w:t>2</w:t>
      </w:r>
      <w:r>
        <w:rPr>
          <w:sz w:val="17"/>
          <w:szCs w:val="17"/>
        </w:rPr>
        <w:t xml:space="preserve"> In Möbel integrierte LED-Beleuchtung von Häfele </w:t>
      </w:r>
      <w:proofErr w:type="spellStart"/>
      <w:r>
        <w:rPr>
          <w:sz w:val="17"/>
          <w:szCs w:val="17"/>
        </w:rPr>
        <w:t>Lighting</w:t>
      </w:r>
      <w:proofErr w:type="spellEnd"/>
      <w:r>
        <w:rPr>
          <w:sz w:val="17"/>
          <w:szCs w:val="17"/>
        </w:rPr>
        <w:t xml:space="preserve"> sorgt für funktionales Arbeitslicht und atmosphärische Lichtakzente – etwa in Küche, Ankleide oder Wohnraum. Foto: Häfele</w:t>
      </w:r>
      <w:r>
        <w:rPr>
          <w:sz w:val="17"/>
          <w:szCs w:val="17"/>
        </w:rPr>
        <w:br/>
      </w:r>
    </w:p>
    <w:p w:rsidR="008F0BCF" w:rsidRDefault="00000000">
      <w:pPr>
        <w:spacing w:line="240" w:lineRule="auto"/>
        <w:rPr>
          <w:sz w:val="17"/>
          <w:szCs w:val="17"/>
        </w:rPr>
      </w:pPr>
      <w:r>
        <w:rPr>
          <w:b/>
          <w:sz w:val="17"/>
          <w:szCs w:val="17"/>
        </w:rPr>
        <w:t>3</w:t>
      </w:r>
      <w:r>
        <w:rPr>
          <w:sz w:val="17"/>
          <w:szCs w:val="17"/>
        </w:rPr>
        <w:t xml:space="preserve"> Linearleuchten und abgestimmte Lichtkomponenten von Häfele </w:t>
      </w:r>
      <w:proofErr w:type="spellStart"/>
      <w:r>
        <w:rPr>
          <w:sz w:val="17"/>
          <w:szCs w:val="17"/>
        </w:rPr>
        <w:t>Lighting</w:t>
      </w:r>
      <w:proofErr w:type="spellEnd"/>
      <w:r>
        <w:rPr>
          <w:sz w:val="17"/>
          <w:szCs w:val="17"/>
        </w:rPr>
        <w:t xml:space="preserve"> ermöglichen maßgeschneiderte Beleuchtungslösungen im Möbelbau – auch ab Losgröße 1. Foto: Häfele</w:t>
      </w:r>
      <w:r>
        <w:rPr>
          <w:sz w:val="17"/>
          <w:szCs w:val="17"/>
        </w:rPr>
        <w:br/>
      </w:r>
    </w:p>
    <w:p w:rsidR="008F0BCF" w:rsidRDefault="00000000">
      <w:pPr>
        <w:spacing w:line="240" w:lineRule="auto"/>
        <w:rPr>
          <w:sz w:val="17"/>
          <w:szCs w:val="17"/>
        </w:rPr>
      </w:pPr>
      <w:r>
        <w:rPr>
          <w:b/>
          <w:sz w:val="17"/>
          <w:szCs w:val="17"/>
        </w:rPr>
        <w:t>4</w:t>
      </w:r>
      <w:r>
        <w:rPr>
          <w:sz w:val="17"/>
          <w:szCs w:val="17"/>
        </w:rPr>
        <w:t xml:space="preserve"> Der neue Häfele </w:t>
      </w:r>
      <w:proofErr w:type="spellStart"/>
      <w:r>
        <w:rPr>
          <w:sz w:val="17"/>
          <w:szCs w:val="17"/>
        </w:rPr>
        <w:t>Lighting</w:t>
      </w:r>
      <w:proofErr w:type="spellEnd"/>
      <w:r>
        <w:rPr>
          <w:sz w:val="17"/>
          <w:szCs w:val="17"/>
        </w:rPr>
        <w:t xml:space="preserve"> Katalog bündelt praxisnahes Lichtwissen, Systemlösungen sowie das Sortiment für Möbel- und Raumbeleuchtung und dient als umfassendes Nachschlagewerk für das Handwerk.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8F0BCF">
        <w:tc>
          <w:tcPr>
            <w:tcW w:w="2444" w:type="pct"/>
            <w:tcBorders>
              <w:top w:val="nil"/>
              <w:left w:val="nil"/>
              <w:bottom w:val="nil"/>
              <w:right w:val="nil"/>
            </w:tcBorders>
            <w:shd w:val="clear" w:color="auto" w:fill="auto"/>
            <w:tcMar>
              <w:top w:w="0" w:type="dxa"/>
              <w:left w:w="0" w:type="dxa"/>
              <w:bottom w:w="0" w:type="dxa"/>
              <w:right w:w="0" w:type="dxa"/>
            </w:tcMar>
          </w:tcPr>
          <w:p w:rsidR="008F0BCF"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8F0BCF" w:rsidRDefault="008F0BCF">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F0BCF" w:rsidRDefault="00000000">
            <w:pPr>
              <w:keepNext/>
              <w:keepLines/>
              <w:spacing w:line="240" w:lineRule="auto"/>
              <w:rPr>
                <w:sz w:val="14"/>
                <w:szCs w:val="14"/>
              </w:rPr>
            </w:pPr>
            <w:r>
              <w:rPr>
                <w:sz w:val="14"/>
                <w:szCs w:val="14"/>
              </w:rPr>
              <w:t>2.</w:t>
            </w:r>
          </w:p>
        </w:tc>
      </w:tr>
      <w:tr w:rsidR="008F0BCF">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F0BCF" w:rsidRDefault="00000000">
            <w:pPr>
              <w:keepNext/>
              <w:keepLines/>
              <w:spacing w:line="240" w:lineRule="auto"/>
              <w:rPr>
                <w:sz w:val="14"/>
                <w:szCs w:val="14"/>
              </w:rPr>
            </w:pPr>
            <w:r>
              <w:rPr>
                <w:noProof/>
                <w:sz w:val="14"/>
                <w:szCs w:val="14"/>
              </w:rPr>
              <w:drawing>
                <wp:inline distT="0" distB="0" distL="0" distR="0">
                  <wp:extent cx="302387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F0BCF" w:rsidRDefault="008F0BC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F0BCF" w:rsidRDefault="00000000">
            <w:pPr>
              <w:keepNext/>
              <w:keepLines/>
              <w:spacing w:line="240" w:lineRule="auto"/>
              <w:rPr>
                <w:sz w:val="14"/>
                <w:szCs w:val="14"/>
              </w:rPr>
            </w:pPr>
            <w:r>
              <w:rPr>
                <w:noProof/>
                <w:sz w:val="14"/>
                <w:szCs w:val="14"/>
              </w:rPr>
              <w:drawing>
                <wp:inline distT="0" distB="0" distL="0" distR="0">
                  <wp:extent cx="3025140" cy="199707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3025140" cy="1997075"/>
                          </a:xfrm>
                          <a:prstGeom prst="rect">
                            <a:avLst/>
                          </a:prstGeom>
                        </pic:spPr>
                      </pic:pic>
                    </a:graphicData>
                  </a:graphic>
                </wp:inline>
              </w:drawing>
            </w:r>
          </w:p>
        </w:tc>
      </w:tr>
      <w:tr w:rsidR="008F0BCF">
        <w:tc>
          <w:tcPr>
            <w:tcW w:w="2444" w:type="pct"/>
            <w:tcBorders>
              <w:top w:val="nil"/>
              <w:left w:val="nil"/>
              <w:bottom w:val="nil"/>
              <w:right w:val="nil"/>
            </w:tcBorders>
            <w:shd w:val="clear" w:color="auto" w:fill="auto"/>
            <w:tcMar>
              <w:top w:w="0" w:type="dxa"/>
              <w:left w:w="0" w:type="dxa"/>
              <w:bottom w:w="0" w:type="dxa"/>
              <w:right w:w="0" w:type="dxa"/>
            </w:tcMar>
          </w:tcPr>
          <w:p w:rsidR="008F0BCF" w:rsidRDefault="008F0BCF">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8F0BCF" w:rsidRDefault="008F0BCF">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F0BCF" w:rsidRDefault="008F0BCF">
            <w:pPr>
              <w:keepNext/>
              <w:keepLines/>
              <w:spacing w:line="240" w:lineRule="auto"/>
              <w:rPr>
                <w:sz w:val="14"/>
                <w:szCs w:val="14"/>
              </w:rPr>
            </w:pPr>
          </w:p>
        </w:tc>
      </w:tr>
      <w:tr w:rsidR="008F0BCF">
        <w:tc>
          <w:tcPr>
            <w:tcW w:w="2444" w:type="pct"/>
            <w:tcBorders>
              <w:top w:val="nil"/>
              <w:left w:val="nil"/>
              <w:bottom w:val="nil"/>
              <w:right w:val="nil"/>
            </w:tcBorders>
            <w:shd w:val="clear" w:color="auto" w:fill="auto"/>
            <w:tcMar>
              <w:top w:w="0" w:type="dxa"/>
              <w:left w:w="0" w:type="dxa"/>
              <w:bottom w:w="0" w:type="dxa"/>
              <w:right w:w="0" w:type="dxa"/>
            </w:tcMar>
          </w:tcPr>
          <w:p w:rsidR="008F0BCF"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8F0BCF" w:rsidRDefault="008F0BCF">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F0BCF" w:rsidRDefault="00000000">
            <w:pPr>
              <w:keepNext/>
              <w:keepLines/>
              <w:spacing w:line="240" w:lineRule="auto"/>
              <w:rPr>
                <w:sz w:val="14"/>
                <w:szCs w:val="14"/>
              </w:rPr>
            </w:pPr>
            <w:r>
              <w:rPr>
                <w:sz w:val="14"/>
                <w:szCs w:val="14"/>
              </w:rPr>
              <w:t>4.</w:t>
            </w:r>
          </w:p>
        </w:tc>
      </w:tr>
      <w:tr w:rsidR="008F0BCF">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F0BCF" w:rsidRDefault="00000000">
            <w:pPr>
              <w:keepNext/>
              <w:keepLines/>
              <w:spacing w:line="240" w:lineRule="auto"/>
              <w:rPr>
                <w:sz w:val="14"/>
                <w:szCs w:val="14"/>
              </w:rPr>
            </w:pPr>
            <w:r>
              <w:rPr>
                <w:noProof/>
                <w:sz w:val="14"/>
                <w:szCs w:val="14"/>
              </w:rPr>
              <w:drawing>
                <wp:inline distT="0" distB="0" distL="0" distR="0">
                  <wp:extent cx="302387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F0BCF" w:rsidRDefault="008F0BC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F0BCF" w:rsidRDefault="00000000">
            <w:pPr>
              <w:keepNext/>
              <w:keepLines/>
              <w:spacing w:line="240" w:lineRule="auto"/>
              <w:rPr>
                <w:sz w:val="14"/>
                <w:szCs w:val="14"/>
              </w:rPr>
            </w:pPr>
            <w:r>
              <w:rPr>
                <w:noProof/>
                <w:sz w:val="14"/>
                <w:szCs w:val="14"/>
              </w:rPr>
              <w:drawing>
                <wp:inline distT="0" distB="0" distL="0" distR="0">
                  <wp:extent cx="12547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1254760" cy="2014220"/>
                          </a:xfrm>
                          <a:prstGeom prst="rect">
                            <a:avLst/>
                          </a:prstGeom>
                        </pic:spPr>
                      </pic:pic>
                    </a:graphicData>
                  </a:graphic>
                </wp:inline>
              </w:drawing>
            </w:r>
          </w:p>
        </w:tc>
      </w:tr>
    </w:tbl>
    <w:p w:rsidR="008F0BCF"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8F0BCF">
        <w:tc>
          <w:tcPr>
            <w:tcW w:w="3500" w:type="pct"/>
            <w:gridSpan w:val="2"/>
            <w:tcBorders>
              <w:top w:val="nil"/>
              <w:left w:val="nil"/>
              <w:bottom w:val="nil"/>
              <w:right w:val="nil"/>
            </w:tcBorders>
            <w:shd w:val="clear" w:color="auto" w:fill="auto"/>
            <w:tcMar>
              <w:top w:w="0" w:type="dxa"/>
              <w:left w:w="0" w:type="dxa"/>
              <w:bottom w:w="0" w:type="dxa"/>
              <w:right w:w="227" w:type="dxa"/>
            </w:tcMar>
          </w:tcPr>
          <w:p w:rsidR="008F0BCF" w:rsidRDefault="00000000">
            <w:pPr>
              <w:spacing w:before="240" w:after="240"/>
              <w:rPr>
                <w:sz w:val="20"/>
                <w:szCs w:val="20"/>
              </w:rPr>
            </w:pPr>
            <w:r>
              <w:rPr>
                <w:b/>
                <w:sz w:val="20"/>
                <w:szCs w:val="20"/>
              </w:rPr>
              <w:lastRenderedPageBreak/>
              <w:t>Über Häfele</w:t>
            </w:r>
          </w:p>
          <w:p w:rsidR="008F0BCF" w:rsidRDefault="00000000">
            <w:pPr>
              <w:spacing w:before="240" w:after="240"/>
              <w:rPr>
                <w:sz w:val="20"/>
                <w:szCs w:val="20"/>
              </w:rPr>
            </w:pPr>
            <w:proofErr w:type="spellStart"/>
            <w:r>
              <w:rPr>
                <w:b/>
                <w:sz w:val="20"/>
                <w:szCs w:val="20"/>
              </w:rPr>
              <w:t>Maximising</w:t>
            </w:r>
            <w:proofErr w:type="spellEnd"/>
            <w:r>
              <w:rPr>
                <w:b/>
                <w:sz w:val="20"/>
                <w:szCs w:val="20"/>
              </w:rPr>
              <w:t xml:space="preserve"> </w:t>
            </w:r>
            <w:proofErr w:type="spellStart"/>
            <w:r>
              <w:rPr>
                <w:b/>
                <w:sz w:val="20"/>
                <w:szCs w:val="20"/>
              </w:rPr>
              <w:t>the</w:t>
            </w:r>
            <w:proofErr w:type="spellEnd"/>
            <w:r>
              <w:rPr>
                <w:b/>
                <w:sz w:val="20"/>
                <w:szCs w:val="20"/>
              </w:rPr>
              <w:t xml:space="preserve"> </w:t>
            </w:r>
            <w:proofErr w:type="spellStart"/>
            <w:r>
              <w:rPr>
                <w:b/>
                <w:sz w:val="20"/>
                <w:szCs w:val="20"/>
              </w:rPr>
              <w:t>value</w:t>
            </w:r>
            <w:proofErr w:type="spellEnd"/>
            <w:r>
              <w:rPr>
                <w:b/>
                <w:sz w:val="20"/>
                <w:szCs w:val="20"/>
              </w:rPr>
              <w:t xml:space="preserve"> </w:t>
            </w:r>
            <w:proofErr w:type="spellStart"/>
            <w:r>
              <w:rPr>
                <w:b/>
                <w:sz w:val="20"/>
                <w:szCs w:val="20"/>
              </w:rPr>
              <w:t>of</w:t>
            </w:r>
            <w:proofErr w:type="spellEnd"/>
            <w:r>
              <w:rPr>
                <w:b/>
                <w:sz w:val="20"/>
                <w:szCs w:val="20"/>
              </w:rPr>
              <w:t xml:space="preserve"> </w:t>
            </w:r>
            <w:proofErr w:type="spellStart"/>
            <w:r>
              <w:rPr>
                <w:b/>
                <w:sz w:val="20"/>
                <w:szCs w:val="20"/>
              </w:rPr>
              <w:t>space</w:t>
            </w:r>
            <w:proofErr w:type="spellEnd"/>
            <w:r>
              <w:rPr>
                <w:b/>
                <w:sz w:val="20"/>
                <w:szCs w:val="20"/>
              </w:rPr>
              <w:t xml:space="preserve">. </w:t>
            </w:r>
            <w:proofErr w:type="spellStart"/>
            <w:r>
              <w:rPr>
                <w:b/>
                <w:sz w:val="20"/>
                <w:szCs w:val="20"/>
              </w:rPr>
              <w:t>Together</w:t>
            </w:r>
            <w:proofErr w:type="spellEnd"/>
            <w:r>
              <w:rPr>
                <w:b/>
                <w:sz w:val="20"/>
                <w:szCs w:val="20"/>
              </w:rPr>
              <w:t>.</w:t>
            </w:r>
          </w:p>
          <w:p w:rsidR="008F0BCF" w:rsidRDefault="00000000">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rsidR="008F0BCF" w:rsidRDefault="00000000">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rsidR="008F0BCF" w:rsidRDefault="00000000">
            <w:pPr>
              <w:spacing w:before="240" w:after="240"/>
              <w:rPr>
                <w:sz w:val="20"/>
                <w:szCs w:val="20"/>
              </w:rPr>
            </w:pPr>
            <w:r>
              <w:rPr>
                <w:sz w:val="20"/>
                <w:szCs w:val="20"/>
              </w:rPr>
              <w:t xml:space="preserve">Über 8.000 Mitarbeitende sowie 39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ist Vorsitzende des Verwaltungsrats und Gesellschafterin des 100%igen Familienunternehmens. Im Geschäftsjahr 2025 erzielte die Häfele Gruppe einen Umsatz von 1,72 Mrd. Euro bei einem Exportanteil von 82%.</w:t>
            </w:r>
          </w:p>
          <w:p w:rsidR="008F0BCF" w:rsidRDefault="00000000">
            <w:pPr>
              <w:spacing w:before="240" w:after="240"/>
              <w:rPr>
                <w:sz w:val="20"/>
                <w:szCs w:val="20"/>
              </w:rPr>
            </w:pPr>
            <w:r>
              <w:rPr>
                <w:sz w:val="20"/>
                <w:szCs w:val="20"/>
              </w:rPr>
              <w:t xml:space="preserve">Weitere Informationen unter </w:t>
            </w:r>
            <w:hyperlink r:id="rId12">
              <w:r>
                <w:rPr>
                  <w:rStyle w:val="Hyperlink"/>
                  <w:color w:val="000000"/>
                  <w:sz w:val="20"/>
                  <w:szCs w:val="20"/>
                </w:rPr>
                <w:t>www.haefele.de</w:t>
              </w:r>
            </w:hyperlink>
          </w:p>
          <w:p w:rsidR="008F0BCF"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8F0BCF" w:rsidRDefault="00000000">
            <w:pPr>
              <w:rPr>
                <w:sz w:val="20"/>
                <w:szCs w:val="20"/>
              </w:rPr>
            </w:pPr>
            <w:r>
              <w:rPr>
                <w:sz w:val="20"/>
                <w:szCs w:val="20"/>
              </w:rPr>
              <w:br/>
            </w:r>
          </w:p>
        </w:tc>
      </w:tr>
      <w:tr w:rsidR="008F0BCF">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8F0BCF" w:rsidRDefault="008F0BCF">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8F0BCF" w:rsidRDefault="008F0BCF">
            <w:pPr>
              <w:rPr>
                <w:sz w:val="20"/>
                <w:szCs w:val="20"/>
              </w:rPr>
            </w:pPr>
          </w:p>
        </w:tc>
      </w:tr>
    </w:tbl>
    <w:p w:rsidR="008F0BCF" w:rsidRDefault="008F0BCF">
      <w:pPr>
        <w:spacing w:line="240" w:lineRule="auto"/>
      </w:pPr>
    </w:p>
    <w:sectPr w:rsidR="008F0BCF">
      <w:headerReference w:type="default" r:id="rId13"/>
      <w:footerReference w:type="default" r:id="rId14"/>
      <w:headerReference w:type="first" r:id="rId15"/>
      <w:footerReference w:type="first" r:id="rId16"/>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65E5" w:rsidRDefault="00AD65E5">
      <w:pPr>
        <w:spacing w:line="240" w:lineRule="auto"/>
      </w:pPr>
      <w:r>
        <w:separator/>
      </w:r>
    </w:p>
  </w:endnote>
  <w:endnote w:type="continuationSeparator" w:id="0">
    <w:p w:rsidR="00AD65E5" w:rsidRDefault="00AD65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8F0BCF">
      <w:tc>
        <w:tcPr>
          <w:tcW w:w="4900" w:type="pct"/>
          <w:tcBorders>
            <w:top w:val="nil"/>
            <w:left w:val="nil"/>
            <w:bottom w:val="nil"/>
            <w:right w:val="nil"/>
          </w:tcBorders>
          <w:shd w:val="clear" w:color="auto" w:fill="auto"/>
          <w:tcMar>
            <w:top w:w="0" w:type="dxa"/>
            <w:left w:w="0" w:type="dxa"/>
            <w:bottom w:w="0" w:type="dxa"/>
            <w:right w:w="0" w:type="dxa"/>
          </w:tcMar>
          <w:vAlign w:val="bottom"/>
        </w:tcPr>
        <w:p w:rsidR="008F0BCF" w:rsidRDefault="008F0BCF">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8F0BCF" w:rsidRDefault="00000000">
          <w:pPr>
            <w:rPr>
              <w:sz w:val="14"/>
              <w:szCs w:val="14"/>
            </w:rPr>
          </w:pPr>
          <w:r>
            <w:rPr>
              <w:sz w:val="14"/>
              <w:szCs w:val="14"/>
            </w:rPr>
            <w:fldChar w:fldCharType="begin"/>
          </w:r>
          <w:r>
            <w:rPr>
              <w:sz w:val="14"/>
              <w:szCs w:val="14"/>
            </w:rPr>
            <w:instrText>PAGE \* ARABIC</w:instrText>
          </w:r>
          <w:r>
            <w:rPr>
              <w:sz w:val="14"/>
              <w:szCs w:val="14"/>
            </w:rPr>
            <w:fldChar w:fldCharType="separate"/>
          </w:r>
          <w:r>
            <w:rPr>
              <w:sz w:val="14"/>
              <w:szCs w:val="14"/>
            </w:rPr>
            <w:t>#</w:t>
          </w:r>
          <w:r>
            <w:rPr>
              <w:sz w:val="14"/>
              <w:szCs w:val="14"/>
            </w:rPr>
            <w:fldChar w:fldCharType="end"/>
          </w:r>
        </w:p>
      </w:tc>
    </w:tr>
  </w:tbl>
  <w:p w:rsidR="008F0BCF" w:rsidRDefault="008F0BCF">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8F0BCF">
      <w:tc>
        <w:tcPr>
          <w:tcW w:w="4900" w:type="pct"/>
          <w:tcBorders>
            <w:top w:val="nil"/>
            <w:left w:val="nil"/>
            <w:bottom w:val="nil"/>
            <w:right w:val="nil"/>
          </w:tcBorders>
          <w:shd w:val="clear" w:color="auto" w:fill="auto"/>
          <w:tcMar>
            <w:top w:w="0" w:type="dxa"/>
            <w:left w:w="0" w:type="dxa"/>
            <w:bottom w:w="0" w:type="dxa"/>
            <w:right w:w="0" w:type="dxa"/>
          </w:tcMar>
          <w:vAlign w:val="bottom"/>
        </w:tcPr>
        <w:p w:rsidR="008F0BCF" w:rsidRDefault="008F0BCF">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8F0BCF" w:rsidRDefault="008F0BCF">
          <w:pPr>
            <w:rPr>
              <w:sz w:val="14"/>
              <w:szCs w:val="14"/>
            </w:rPr>
          </w:pPr>
        </w:p>
      </w:tc>
    </w:tr>
  </w:tbl>
  <w:p w:rsidR="008F0BCF" w:rsidRDefault="008F0BCF">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65E5" w:rsidRDefault="00AD65E5">
      <w:pPr>
        <w:spacing w:line="240" w:lineRule="auto"/>
      </w:pPr>
      <w:r>
        <w:separator/>
      </w:r>
    </w:p>
  </w:footnote>
  <w:footnote w:type="continuationSeparator" w:id="0">
    <w:p w:rsidR="00AD65E5" w:rsidRDefault="00AD65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F0BCF" w:rsidRDefault="00000000">
    <w:r>
      <w:rPr>
        <w:noProof/>
      </w:rPr>
      <w:drawing>
        <wp:anchor distT="0" distB="0" distL="114300" distR="114300" simplePos="0" relativeHeight="251659264" behindDoc="0" locked="0" layoutInCell="0" allowOverlap="0">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F0BCF" w:rsidRDefault="00000000">
    <w:r>
      <w:rPr>
        <w:noProof/>
      </w:rPr>
      <w:drawing>
        <wp:anchor distT="0" distB="0" distL="114300" distR="114300" simplePos="0" relativeHeight="251658240" behindDoc="0" locked="0" layoutInCell="0" allowOverlap="0">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B96033"/>
    <w:multiLevelType w:val="hybridMultilevel"/>
    <w:tmpl w:val="44EC89D0"/>
    <w:lvl w:ilvl="0" w:tplc="5DC81B19">
      <w:start w:val="1"/>
      <w:numFmt w:val="bullet"/>
      <w:lvlText w:val="·"/>
      <w:lvlJc w:val="left"/>
      <w:pPr>
        <w:ind w:left="720" w:hanging="360"/>
      </w:pPr>
      <w:rPr>
        <w:rFonts w:ascii="Symbol" w:eastAsia="Symbol" w:hAnsi="Symbol" w:cs="Symbol"/>
      </w:rPr>
    </w:lvl>
    <w:lvl w:ilvl="1" w:tplc="59EE46F0">
      <w:start w:val="1"/>
      <w:numFmt w:val="bullet"/>
      <w:lvlText w:val="o"/>
      <w:lvlJc w:val="left"/>
      <w:pPr>
        <w:ind w:left="1440" w:hanging="360"/>
      </w:pPr>
      <w:rPr>
        <w:rFonts w:ascii="Symbol" w:hAnsi="Symbol"/>
      </w:rPr>
    </w:lvl>
    <w:lvl w:ilvl="2" w:tplc="684034C2">
      <w:start w:val="1"/>
      <w:numFmt w:val="bullet"/>
      <w:lvlText w:val="·"/>
      <w:lvlJc w:val="left"/>
      <w:pPr>
        <w:ind w:left="2160" w:hanging="360"/>
      </w:pPr>
      <w:rPr>
        <w:rFonts w:ascii="Symbol" w:hAnsi="Symbol"/>
      </w:rPr>
    </w:lvl>
    <w:lvl w:ilvl="3" w:tplc="3CCDEA80">
      <w:start w:val="1"/>
      <w:numFmt w:val="bullet"/>
      <w:lvlText w:val="o"/>
      <w:lvlJc w:val="left"/>
      <w:pPr>
        <w:ind w:left="2880" w:hanging="360"/>
      </w:pPr>
      <w:rPr>
        <w:rFonts w:ascii="Symbol" w:hAnsi="Symbol"/>
      </w:rPr>
    </w:lvl>
    <w:lvl w:ilvl="4" w:tplc="4958D975">
      <w:start w:val="1"/>
      <w:numFmt w:val="bullet"/>
      <w:lvlText w:val="·"/>
      <w:lvlJc w:val="left"/>
      <w:pPr>
        <w:ind w:left="3600" w:hanging="360"/>
      </w:pPr>
      <w:rPr>
        <w:rFonts w:ascii="Symbol" w:hAnsi="Symbol"/>
      </w:rPr>
    </w:lvl>
    <w:lvl w:ilvl="5" w:tplc="6C4FDD65">
      <w:start w:val="1"/>
      <w:numFmt w:val="bullet"/>
      <w:lvlText w:val="o"/>
      <w:lvlJc w:val="left"/>
      <w:pPr>
        <w:ind w:left="4320" w:hanging="360"/>
      </w:pPr>
      <w:rPr>
        <w:rFonts w:ascii="Symbol" w:hAnsi="Symbol"/>
      </w:rPr>
    </w:lvl>
    <w:lvl w:ilvl="6" w:tplc="44A5A802">
      <w:start w:val="1"/>
      <w:numFmt w:val="bullet"/>
      <w:lvlText w:val="·"/>
      <w:lvlJc w:val="left"/>
      <w:pPr>
        <w:ind w:left="5040" w:hanging="360"/>
      </w:pPr>
      <w:rPr>
        <w:rFonts w:ascii="Symbol" w:hAnsi="Symbol"/>
      </w:rPr>
    </w:lvl>
    <w:lvl w:ilvl="7" w:tplc="4521DB3A">
      <w:start w:val="1"/>
      <w:numFmt w:val="bullet"/>
      <w:lvlText w:val="o"/>
      <w:lvlJc w:val="left"/>
      <w:pPr>
        <w:ind w:left="5760" w:hanging="360"/>
      </w:pPr>
      <w:rPr>
        <w:rFonts w:ascii="Symbol" w:hAnsi="Symbol"/>
      </w:rPr>
    </w:lvl>
    <w:lvl w:ilvl="8" w:tplc="5EE869B6">
      <w:start w:val="1"/>
      <w:numFmt w:val="bullet"/>
      <w:lvlText w:val="·"/>
      <w:lvlJc w:val="left"/>
      <w:pPr>
        <w:ind w:left="6480" w:hanging="360"/>
      </w:pPr>
      <w:rPr>
        <w:rFonts w:ascii="Symbol" w:hAnsi="Symbol"/>
      </w:rPr>
    </w:lvl>
  </w:abstractNum>
  <w:abstractNum w:abstractNumId="1" w15:restartNumberingAfterBreak="0">
    <w:nsid w:val="59B0E158"/>
    <w:multiLevelType w:val="hybridMultilevel"/>
    <w:tmpl w:val="4E48B208"/>
    <w:lvl w:ilvl="0" w:tplc="6FF444D5">
      <w:start w:val="1"/>
      <w:numFmt w:val="bullet"/>
      <w:lvlText w:val="·"/>
      <w:lvlJc w:val="left"/>
      <w:pPr>
        <w:ind w:left="720" w:hanging="360"/>
      </w:pPr>
      <w:rPr>
        <w:rFonts w:ascii="Symbol" w:eastAsia="Symbol" w:hAnsi="Symbol" w:cs="Symbol"/>
      </w:rPr>
    </w:lvl>
    <w:lvl w:ilvl="1" w:tplc="195CF413">
      <w:start w:val="1"/>
      <w:numFmt w:val="bullet"/>
      <w:lvlText w:val="o"/>
      <w:lvlJc w:val="left"/>
      <w:pPr>
        <w:ind w:left="1440" w:hanging="360"/>
      </w:pPr>
      <w:rPr>
        <w:rFonts w:ascii="Symbol" w:hAnsi="Symbol"/>
      </w:rPr>
    </w:lvl>
    <w:lvl w:ilvl="2" w:tplc="082A9965">
      <w:start w:val="1"/>
      <w:numFmt w:val="bullet"/>
      <w:lvlText w:val="·"/>
      <w:lvlJc w:val="left"/>
      <w:pPr>
        <w:ind w:left="2160" w:hanging="360"/>
      </w:pPr>
      <w:rPr>
        <w:rFonts w:ascii="Symbol" w:hAnsi="Symbol"/>
      </w:rPr>
    </w:lvl>
    <w:lvl w:ilvl="3" w:tplc="05728892">
      <w:start w:val="1"/>
      <w:numFmt w:val="bullet"/>
      <w:lvlText w:val="o"/>
      <w:lvlJc w:val="left"/>
      <w:pPr>
        <w:ind w:left="2880" w:hanging="360"/>
      </w:pPr>
      <w:rPr>
        <w:rFonts w:ascii="Symbol" w:hAnsi="Symbol"/>
      </w:rPr>
    </w:lvl>
    <w:lvl w:ilvl="4" w:tplc="39B61D8C">
      <w:start w:val="1"/>
      <w:numFmt w:val="bullet"/>
      <w:lvlText w:val="·"/>
      <w:lvlJc w:val="left"/>
      <w:pPr>
        <w:ind w:left="3600" w:hanging="360"/>
      </w:pPr>
      <w:rPr>
        <w:rFonts w:ascii="Symbol" w:hAnsi="Symbol"/>
      </w:rPr>
    </w:lvl>
    <w:lvl w:ilvl="5" w:tplc="3D62443E">
      <w:start w:val="1"/>
      <w:numFmt w:val="bullet"/>
      <w:lvlText w:val="o"/>
      <w:lvlJc w:val="left"/>
      <w:pPr>
        <w:ind w:left="4320" w:hanging="360"/>
      </w:pPr>
      <w:rPr>
        <w:rFonts w:ascii="Symbol" w:hAnsi="Symbol"/>
      </w:rPr>
    </w:lvl>
    <w:lvl w:ilvl="6" w:tplc="37E74CC8">
      <w:start w:val="1"/>
      <w:numFmt w:val="bullet"/>
      <w:lvlText w:val="·"/>
      <w:lvlJc w:val="left"/>
      <w:pPr>
        <w:ind w:left="5040" w:hanging="360"/>
      </w:pPr>
      <w:rPr>
        <w:rFonts w:ascii="Symbol" w:hAnsi="Symbol"/>
      </w:rPr>
    </w:lvl>
    <w:lvl w:ilvl="7" w:tplc="6551042A">
      <w:start w:val="1"/>
      <w:numFmt w:val="bullet"/>
      <w:lvlText w:val="o"/>
      <w:lvlJc w:val="left"/>
      <w:pPr>
        <w:ind w:left="5760" w:hanging="360"/>
      </w:pPr>
      <w:rPr>
        <w:rFonts w:ascii="Symbol" w:hAnsi="Symbol"/>
      </w:rPr>
    </w:lvl>
    <w:lvl w:ilvl="8" w:tplc="603B569A">
      <w:start w:val="1"/>
      <w:numFmt w:val="bullet"/>
      <w:lvlText w:val="·"/>
      <w:lvlJc w:val="left"/>
      <w:pPr>
        <w:ind w:left="6480" w:hanging="360"/>
      </w:pPr>
      <w:rPr>
        <w:rFonts w:ascii="Symbol" w:hAnsi="Symbol"/>
      </w:rPr>
    </w:lvl>
  </w:abstractNum>
  <w:abstractNum w:abstractNumId="2" w15:restartNumberingAfterBreak="0">
    <w:nsid w:val="617C141E"/>
    <w:multiLevelType w:val="hybridMultilevel"/>
    <w:tmpl w:val="C80E607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6B6FBBF0"/>
    <w:multiLevelType w:val="hybridMultilevel"/>
    <w:tmpl w:val="7E108E14"/>
    <w:lvl w:ilvl="0" w:tplc="0CEFE6CB">
      <w:start w:val="1"/>
      <w:numFmt w:val="bullet"/>
      <w:lvlText w:val="·"/>
      <w:lvlJc w:val="left"/>
      <w:pPr>
        <w:ind w:left="720" w:hanging="360"/>
      </w:pPr>
      <w:rPr>
        <w:rFonts w:ascii="Symbol" w:eastAsia="Symbol" w:hAnsi="Symbol" w:cs="Symbol"/>
      </w:rPr>
    </w:lvl>
    <w:lvl w:ilvl="1" w:tplc="5892EAB5">
      <w:start w:val="1"/>
      <w:numFmt w:val="bullet"/>
      <w:lvlText w:val="o"/>
      <w:lvlJc w:val="left"/>
      <w:pPr>
        <w:ind w:left="1440" w:hanging="360"/>
      </w:pPr>
      <w:rPr>
        <w:rFonts w:ascii="Symbol" w:hAnsi="Symbol"/>
      </w:rPr>
    </w:lvl>
    <w:lvl w:ilvl="2" w:tplc="23520106">
      <w:start w:val="1"/>
      <w:numFmt w:val="bullet"/>
      <w:lvlText w:val="·"/>
      <w:lvlJc w:val="left"/>
      <w:pPr>
        <w:ind w:left="2160" w:hanging="360"/>
      </w:pPr>
      <w:rPr>
        <w:rFonts w:ascii="Symbol" w:hAnsi="Symbol"/>
      </w:rPr>
    </w:lvl>
    <w:lvl w:ilvl="3" w:tplc="112C2350">
      <w:start w:val="1"/>
      <w:numFmt w:val="bullet"/>
      <w:lvlText w:val="o"/>
      <w:lvlJc w:val="left"/>
      <w:pPr>
        <w:ind w:left="2880" w:hanging="360"/>
      </w:pPr>
      <w:rPr>
        <w:rFonts w:ascii="Symbol" w:hAnsi="Symbol"/>
      </w:rPr>
    </w:lvl>
    <w:lvl w:ilvl="4" w:tplc="224CB103">
      <w:start w:val="1"/>
      <w:numFmt w:val="bullet"/>
      <w:lvlText w:val="·"/>
      <w:lvlJc w:val="left"/>
      <w:pPr>
        <w:ind w:left="3600" w:hanging="360"/>
      </w:pPr>
      <w:rPr>
        <w:rFonts w:ascii="Symbol" w:hAnsi="Symbol"/>
      </w:rPr>
    </w:lvl>
    <w:lvl w:ilvl="5" w:tplc="595C9E14">
      <w:start w:val="1"/>
      <w:numFmt w:val="bullet"/>
      <w:lvlText w:val="o"/>
      <w:lvlJc w:val="left"/>
      <w:pPr>
        <w:ind w:left="4320" w:hanging="360"/>
      </w:pPr>
      <w:rPr>
        <w:rFonts w:ascii="Symbol" w:hAnsi="Symbol"/>
      </w:rPr>
    </w:lvl>
    <w:lvl w:ilvl="6" w:tplc="106EF9A3">
      <w:start w:val="1"/>
      <w:numFmt w:val="bullet"/>
      <w:lvlText w:val="·"/>
      <w:lvlJc w:val="left"/>
      <w:pPr>
        <w:ind w:left="5040" w:hanging="360"/>
      </w:pPr>
      <w:rPr>
        <w:rFonts w:ascii="Symbol" w:hAnsi="Symbol"/>
      </w:rPr>
    </w:lvl>
    <w:lvl w:ilvl="7" w:tplc="2DF5B9BB">
      <w:start w:val="1"/>
      <w:numFmt w:val="bullet"/>
      <w:lvlText w:val="o"/>
      <w:lvlJc w:val="left"/>
      <w:pPr>
        <w:ind w:left="5760" w:hanging="360"/>
      </w:pPr>
      <w:rPr>
        <w:rFonts w:ascii="Symbol" w:hAnsi="Symbol"/>
      </w:rPr>
    </w:lvl>
    <w:lvl w:ilvl="8" w:tplc="7F9BF4F6">
      <w:start w:val="1"/>
      <w:numFmt w:val="bullet"/>
      <w:lvlText w:val="·"/>
      <w:lvlJc w:val="left"/>
      <w:pPr>
        <w:ind w:left="6480" w:hanging="360"/>
      </w:pPr>
      <w:rPr>
        <w:rFonts w:ascii="Symbol" w:hAnsi="Symbol"/>
      </w:rPr>
    </w:lvl>
  </w:abstractNum>
  <w:abstractNum w:abstractNumId="4" w15:restartNumberingAfterBreak="0">
    <w:nsid w:val="7B39E246"/>
    <w:multiLevelType w:val="hybridMultilevel"/>
    <w:tmpl w:val="432A0E24"/>
    <w:lvl w:ilvl="0" w:tplc="6BDB57E7">
      <w:start w:val="1"/>
      <w:numFmt w:val="bullet"/>
      <w:lvlText w:val="·"/>
      <w:lvlJc w:val="left"/>
      <w:pPr>
        <w:ind w:left="720" w:hanging="360"/>
      </w:pPr>
      <w:rPr>
        <w:rFonts w:ascii="Symbol" w:eastAsia="Symbol" w:hAnsi="Symbol" w:cs="Symbol"/>
      </w:rPr>
    </w:lvl>
    <w:lvl w:ilvl="1" w:tplc="1165E499">
      <w:start w:val="1"/>
      <w:numFmt w:val="bullet"/>
      <w:lvlText w:val="o"/>
      <w:lvlJc w:val="left"/>
      <w:pPr>
        <w:ind w:left="1440" w:hanging="360"/>
      </w:pPr>
      <w:rPr>
        <w:rFonts w:ascii="Symbol" w:hAnsi="Symbol"/>
      </w:rPr>
    </w:lvl>
    <w:lvl w:ilvl="2" w:tplc="0988EACC">
      <w:start w:val="1"/>
      <w:numFmt w:val="bullet"/>
      <w:lvlText w:val="·"/>
      <w:lvlJc w:val="left"/>
      <w:pPr>
        <w:ind w:left="2160" w:hanging="360"/>
      </w:pPr>
      <w:rPr>
        <w:rFonts w:ascii="Symbol" w:hAnsi="Symbol"/>
      </w:rPr>
    </w:lvl>
    <w:lvl w:ilvl="3" w:tplc="4DA20E59">
      <w:start w:val="1"/>
      <w:numFmt w:val="bullet"/>
      <w:lvlText w:val="o"/>
      <w:lvlJc w:val="left"/>
      <w:pPr>
        <w:ind w:left="2880" w:hanging="360"/>
      </w:pPr>
      <w:rPr>
        <w:rFonts w:ascii="Symbol" w:hAnsi="Symbol"/>
      </w:rPr>
    </w:lvl>
    <w:lvl w:ilvl="4" w:tplc="4230C6F2">
      <w:start w:val="1"/>
      <w:numFmt w:val="bullet"/>
      <w:lvlText w:val="·"/>
      <w:lvlJc w:val="left"/>
      <w:pPr>
        <w:ind w:left="3600" w:hanging="360"/>
      </w:pPr>
      <w:rPr>
        <w:rFonts w:ascii="Symbol" w:hAnsi="Symbol"/>
      </w:rPr>
    </w:lvl>
    <w:lvl w:ilvl="5" w:tplc="0DBB9AD1">
      <w:start w:val="1"/>
      <w:numFmt w:val="bullet"/>
      <w:lvlText w:val="o"/>
      <w:lvlJc w:val="left"/>
      <w:pPr>
        <w:ind w:left="4320" w:hanging="360"/>
      </w:pPr>
      <w:rPr>
        <w:rFonts w:ascii="Symbol" w:hAnsi="Symbol"/>
      </w:rPr>
    </w:lvl>
    <w:lvl w:ilvl="6" w:tplc="2F91AC08">
      <w:start w:val="1"/>
      <w:numFmt w:val="bullet"/>
      <w:lvlText w:val="·"/>
      <w:lvlJc w:val="left"/>
      <w:pPr>
        <w:ind w:left="5040" w:hanging="360"/>
      </w:pPr>
      <w:rPr>
        <w:rFonts w:ascii="Symbol" w:hAnsi="Symbol"/>
      </w:rPr>
    </w:lvl>
    <w:lvl w:ilvl="7" w:tplc="2D4CA21B">
      <w:start w:val="1"/>
      <w:numFmt w:val="bullet"/>
      <w:lvlText w:val="o"/>
      <w:lvlJc w:val="left"/>
      <w:pPr>
        <w:ind w:left="5760" w:hanging="360"/>
      </w:pPr>
      <w:rPr>
        <w:rFonts w:ascii="Symbol" w:hAnsi="Symbol"/>
      </w:rPr>
    </w:lvl>
    <w:lvl w:ilvl="8" w:tplc="0B4AD522">
      <w:start w:val="1"/>
      <w:numFmt w:val="bullet"/>
      <w:lvlText w:val="·"/>
      <w:lvlJc w:val="left"/>
      <w:pPr>
        <w:ind w:left="6480" w:hanging="360"/>
      </w:pPr>
      <w:rPr>
        <w:rFonts w:ascii="Symbol" w:hAnsi="Symbol"/>
      </w:rPr>
    </w:lvl>
  </w:abstractNum>
  <w:num w:numId="1" w16cid:durableId="1540974637">
    <w:abstractNumId w:val="3"/>
  </w:num>
  <w:num w:numId="2" w16cid:durableId="92170962">
    <w:abstractNumId w:val="4"/>
  </w:num>
  <w:num w:numId="3" w16cid:durableId="678695821">
    <w:abstractNumId w:val="0"/>
  </w:num>
  <w:num w:numId="4" w16cid:durableId="856427746">
    <w:abstractNumId w:val="1"/>
  </w:num>
  <w:num w:numId="5" w16cid:durableId="6420097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BCF"/>
    <w:rsid w:val="0045298E"/>
    <w:rsid w:val="008F0BCF"/>
    <w:rsid w:val="00AD65E5"/>
    <w:rsid w:val="00CB2A5A"/>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3FE3A0F"/>
  <w15:docId w15:val="{47872A79-0EB1-7142-BFAB-7607709BB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rsid w:val="00CB2A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haefele.de/d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1163</Words>
  <Characters>7328</Characters>
  <Application>Microsoft Office Word</Application>
  <DocSecurity>0</DocSecurity>
  <Lines>61</Lines>
  <Paragraphs>16</Paragraphs>
  <ScaleCrop>false</ScaleCrop>
  <Company/>
  <LinksUpToDate>false</LinksUpToDate>
  <CharactersWithSpaces>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3</cp:revision>
  <dcterms:created xsi:type="dcterms:W3CDTF">2026-03-23T10:31:00Z</dcterms:created>
  <dcterms:modified xsi:type="dcterms:W3CDTF">2026-03-23T10:33:00Z</dcterms:modified>
</cp:coreProperties>
</file>