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12C3B" w:rsidRDefault="00000000">
      <w:pPr>
        <w:spacing w:line="240" w:lineRule="auto"/>
        <w:rPr>
          <w:sz w:val="8"/>
          <w:szCs w:val="8"/>
        </w:rPr>
      </w:pPr>
      <w:r>
        <w:rPr>
          <w:b/>
          <w:bCs/>
          <w:sz w:val="32"/>
          <w:szCs w:val="32"/>
        </w:rPr>
        <w:t>Heute klimaschonend, morgen klimaneutral</w:t>
      </w:r>
      <w:r>
        <w:rPr>
          <w:b/>
          <w:bCs/>
          <w:sz w:val="32"/>
          <w:szCs w:val="32"/>
        </w:rPr>
        <w:br/>
      </w:r>
      <w:r>
        <w:t>Zukunftsweisend erneuert wurde die in die Jahre gekommene Heizung einer Mehrfamilienhausanlage. ELCO lieferte dafür Knowhow, Service und die passende Kombination aus Luft-Wasser Wärmepumpe und einem H</w:t>
      </w:r>
      <w:r>
        <w:rPr>
          <w:vertAlign w:val="subscript"/>
        </w:rPr>
        <w:t>2</w:t>
      </w:r>
      <w:r>
        <w:t>-ready Gas-Brennwertkessel.</w:t>
      </w:r>
      <w:r>
        <w:br/>
      </w:r>
      <w:r>
        <w:rPr>
          <w:sz w:val="8"/>
          <w:szCs w:val="8"/>
        </w:rPr>
        <w:br/>
      </w:r>
    </w:p>
    <w:tbl>
      <w:tblPr>
        <w:tblStyle w:val="TabelleEinfach1"/>
        <w:tblW w:w="5000" w:type="pct"/>
        <w:tblInd w:w="-5" w:type="dxa"/>
        <w:tblCellMar>
          <w:left w:w="0" w:type="dxa"/>
          <w:right w:w="227" w:type="dxa"/>
        </w:tblCellMar>
        <w:tblLook w:val="04A0" w:firstRow="1" w:lastRow="0" w:firstColumn="1" w:lastColumn="0" w:noHBand="0" w:noVBand="1"/>
      </w:tblPr>
      <w:tblGrid>
        <w:gridCol w:w="9752"/>
      </w:tblGrid>
      <w:tr w:rsidR="00712C3B">
        <w:tc>
          <w:tcPr>
            <w:tcW w:w="5000" w:type="pct"/>
            <w:tcBorders>
              <w:top w:val="nil"/>
              <w:left w:val="nil"/>
              <w:bottom w:val="nil"/>
              <w:right w:val="nil"/>
            </w:tcBorders>
            <w:tcMar>
              <w:top w:w="0" w:type="dxa"/>
              <w:left w:w="0" w:type="dxa"/>
              <w:bottom w:w="0" w:type="dxa"/>
              <w:right w:w="227" w:type="dxa"/>
            </w:tcMar>
          </w:tcPr>
          <w:p w:rsidR="00712C3B" w:rsidRDefault="00000000">
            <w:pPr>
              <w:widowControl/>
              <w:rPr>
                <w:sz w:val="18"/>
                <w:szCs w:val="18"/>
              </w:rPr>
            </w:pPr>
            <w:r>
              <w:rPr>
                <w:noProof/>
                <w:sz w:val="18"/>
                <w:szCs w:val="18"/>
              </w:rPr>
              <w:drawing>
                <wp:inline distT="0" distB="0" distL="0" distR="0">
                  <wp:extent cx="3995420" cy="2663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dpi="0">
                          <a:blip r:embed="rId6"/>
                          <a:srcRect/>
                          <a:stretch>
                            <a:fillRect/>
                          </a:stretch>
                        </pic:blipFill>
                        <pic:spPr>
                          <a:xfrm>
                            <a:off x="0" y="0"/>
                            <a:ext cx="3995420" cy="2663825"/>
                          </a:xfrm>
                          <a:prstGeom prst="rect">
                            <a:avLst/>
                          </a:prstGeom>
                          <a:noFill/>
                          <a:ln>
                            <a:noFill/>
                          </a:ln>
                        </pic:spPr>
                      </pic:pic>
                    </a:graphicData>
                  </a:graphic>
                </wp:inline>
              </w:drawing>
            </w:r>
          </w:p>
        </w:tc>
      </w:tr>
    </w:tbl>
    <w:p w:rsidR="00712C3B" w:rsidRDefault="00000000">
      <w:pPr>
        <w:widowControl/>
        <w:rPr>
          <w:sz w:val="8"/>
          <w:szCs w:val="8"/>
        </w:rPr>
      </w:pPr>
      <w:r>
        <w:rPr>
          <w:sz w:val="8"/>
          <w:szCs w:val="8"/>
        </w:rPr>
        <w:br/>
      </w:r>
    </w:p>
    <w:tbl>
      <w:tblPr>
        <w:tblStyle w:val="TabelleEinfach1"/>
        <w:tblW w:w="5000" w:type="pct"/>
        <w:tblInd w:w="-5" w:type="dxa"/>
        <w:tblCellMar>
          <w:left w:w="0" w:type="dxa"/>
          <w:right w:w="227" w:type="dxa"/>
        </w:tblCellMar>
        <w:tblLook w:val="04A0" w:firstRow="1" w:lastRow="0" w:firstColumn="1" w:lastColumn="0" w:noHBand="0" w:noVBand="1"/>
      </w:tblPr>
      <w:tblGrid>
        <w:gridCol w:w="3413"/>
        <w:gridCol w:w="3413"/>
        <w:gridCol w:w="2926"/>
      </w:tblGrid>
      <w:tr w:rsidR="00712C3B">
        <w:tc>
          <w:tcPr>
            <w:tcW w:w="3500" w:type="pct"/>
            <w:gridSpan w:val="2"/>
            <w:tcBorders>
              <w:top w:val="nil"/>
              <w:left w:val="nil"/>
              <w:bottom w:val="nil"/>
              <w:right w:val="nil"/>
            </w:tcBorders>
            <w:tcMar>
              <w:top w:w="0" w:type="dxa"/>
              <w:left w:w="0" w:type="dxa"/>
              <w:bottom w:w="0" w:type="dxa"/>
              <w:right w:w="227" w:type="dxa"/>
            </w:tcMar>
          </w:tcPr>
          <w:p w:rsidR="00712C3B" w:rsidRDefault="00000000">
            <w:pPr>
              <w:widowControl/>
              <w:spacing w:after="240"/>
              <w:rPr>
                <w:sz w:val="20"/>
                <w:szCs w:val="20"/>
              </w:rPr>
            </w:pPr>
            <w:r>
              <w:rPr>
                <w:i/>
                <w:iCs/>
                <w:sz w:val="20"/>
                <w:szCs w:val="20"/>
              </w:rPr>
              <w:t>Bereits seit Jahren stellt sich die Wohnungswirtschaft der großen Herausforderung der Wärmewende: In die Jahre gekommene Bestandsgebäude energetisch sanieren und das Wohnen dennoch bezahlbar halten. Denn das große Ziel einer klimaneutralen Zukunft erfordert nicht nur den Neubau energiesparender und ressourcenschonender Wohnhäuser, sondern vor allem die effiziente Nutzung von Energie in bestehenden Gebäuden. Und dass dies nicht immer sofort mit einer Komplettsanierung einhergehen kann, liegt bei den derzeitigen Baupreisen und gestiegenen Zinsen auf der Hand.</w:t>
            </w:r>
          </w:p>
          <w:p w:rsidR="00712C3B" w:rsidRDefault="00000000">
            <w:pPr>
              <w:widowControl/>
              <w:spacing w:after="240"/>
              <w:rPr>
                <w:sz w:val="20"/>
                <w:szCs w:val="20"/>
              </w:rPr>
            </w:pPr>
            <w:r>
              <w:rPr>
                <w:sz w:val="20"/>
                <w:szCs w:val="20"/>
              </w:rPr>
              <w:t>Wie viele andere Wohnungsunternehmen unterhält auch die GBN, das städtische Wohnungsunternehmen im niedersächsischen Nienburg an der Weser, einen beträchtlichen Bestand an Gebäuden aus den 1950er- bis 1980er-Jahren. Hier ist energetisch gesehen dringender Handlungsbedarf angesagt. Welches Heizungssystem für welche Gebäudeart und -situation nun am besten geeignet ist, lotet die GBN für sich derzeit gemeinsam mit der Nienburg Energie, der Vertriebsgesellschaft der Stadtwerke, aus.</w:t>
            </w:r>
          </w:p>
          <w:p w:rsidR="00712C3B" w:rsidRDefault="00000000">
            <w:pPr>
              <w:widowControl/>
              <w:spacing w:after="240"/>
              <w:rPr>
                <w:sz w:val="20"/>
                <w:szCs w:val="20"/>
              </w:rPr>
            </w:pPr>
            <w:r>
              <w:rPr>
                <w:b/>
                <w:bCs/>
                <w:sz w:val="20"/>
                <w:szCs w:val="20"/>
              </w:rPr>
              <w:t>Hybridsystem aus Luft-Wasser Wärmepumpe und Gas-Brennwertkessel</w:t>
            </w:r>
          </w:p>
          <w:p w:rsidR="00712C3B" w:rsidRDefault="00000000">
            <w:pPr>
              <w:widowControl/>
              <w:spacing w:after="240"/>
              <w:rPr>
                <w:sz w:val="20"/>
                <w:szCs w:val="20"/>
              </w:rPr>
            </w:pPr>
            <w:r>
              <w:rPr>
                <w:sz w:val="20"/>
                <w:szCs w:val="20"/>
              </w:rPr>
              <w:t>Die vier Wohnhäuser von 1972 mit insgesamt 40 Wohneinheiten und einer zu beheizenden Fläche von 2.515 m² brauchten dringend eine neue Heizungsanlage. Erklärtes Ziel des städtischen Wohnungsunternehmens war es, den bisherigen Gasverbrauch und damit auch den CO</w:t>
            </w:r>
            <w:r>
              <w:rPr>
                <w:sz w:val="20"/>
                <w:szCs w:val="20"/>
                <w:vertAlign w:val="subscript"/>
              </w:rPr>
              <w:t>2</w:t>
            </w:r>
            <w:r>
              <w:rPr>
                <w:sz w:val="20"/>
                <w:szCs w:val="20"/>
              </w:rPr>
              <w:t xml:space="preserve">-Ausstoß drastisch zu reduzieren. Da jedoch eine Komplettsanierung zu dem Zeitpunkt nicht in Frage kam, musste eine andere Lösung gefunden werden. Hier kam die Kompetenz von ELCO ins Spiel, langjähriger </w:t>
            </w:r>
            <w:r>
              <w:rPr>
                <w:sz w:val="20"/>
                <w:szCs w:val="20"/>
              </w:rPr>
              <w:lastRenderedPageBreak/>
              <w:t>Service-Partner der Stadtwerke Nienburg. Die Wahl fiel auf ein Hybridsystem bestehend aus der Luft-Wasser Wärmepumpe AEROTOP® L65 und dem Gas Stand-Brennwertkessel TRIGON® L PLUS von ELCO, der die Spitzenlast abdeckt. Dieser Gas-Brennwertkessel ist zudem H</w:t>
            </w:r>
            <w:r>
              <w:rPr>
                <w:sz w:val="20"/>
                <w:szCs w:val="20"/>
                <w:vertAlign w:val="subscript"/>
              </w:rPr>
              <w:t>2</w:t>
            </w:r>
            <w:r>
              <w:rPr>
                <w:sz w:val="20"/>
                <w:szCs w:val="20"/>
              </w:rPr>
              <w:t>-ready, das heißt er kann künftig klimaneutral mit Wasserstoff betrieben werden. Mehr noch, der Gas-Brennwertkessel TRIGON® L PLUS ist bereits heute für den Betrieb mit bis zu 20% Wasserstoff geeignet und zertifiziert. Die Wärmepumpe konnte aufgrund ihrer geringen Geräuschentwicklung mit einem Schalldruckpegel von bis zu 55 dB(A) in der Gartenanlage zwischen zwei der vier Häuser aufgestellt werden. Auf drei Seiten ist sie als Sichtschutz von Gabionen umgeben.</w:t>
            </w:r>
          </w:p>
          <w:p w:rsidR="00712C3B" w:rsidRDefault="00000000">
            <w:pPr>
              <w:widowControl/>
              <w:spacing w:after="240"/>
              <w:rPr>
                <w:sz w:val="20"/>
                <w:szCs w:val="20"/>
              </w:rPr>
            </w:pPr>
            <w:r>
              <w:rPr>
                <w:b/>
                <w:bCs/>
                <w:sz w:val="20"/>
                <w:szCs w:val="20"/>
              </w:rPr>
              <w:t>Stufenweise zur Klimaneutralität</w:t>
            </w:r>
          </w:p>
          <w:p w:rsidR="00712C3B" w:rsidRDefault="00000000">
            <w:pPr>
              <w:widowControl/>
              <w:spacing w:after="240"/>
              <w:rPr>
                <w:sz w:val="20"/>
                <w:szCs w:val="20"/>
              </w:rPr>
            </w:pPr>
            <w:r>
              <w:rPr>
                <w:sz w:val="20"/>
                <w:szCs w:val="20"/>
              </w:rPr>
              <w:t xml:space="preserve">Ergänzt wird der Heizungstausch durch die Einbindung einer Photovoltaikanlage im </w:t>
            </w:r>
            <w:proofErr w:type="spellStart"/>
            <w:r>
              <w:rPr>
                <w:sz w:val="20"/>
                <w:szCs w:val="20"/>
              </w:rPr>
              <w:t>Contracting</w:t>
            </w:r>
            <w:proofErr w:type="spellEnd"/>
            <w:r>
              <w:rPr>
                <w:sz w:val="20"/>
                <w:szCs w:val="20"/>
              </w:rPr>
              <w:t xml:space="preserve">-Modell auf den Dächern der gegenüberliegenden Garagen. Der eigenerzeugte Strom wird für den Betrieb der Wärmepumpe direkt vor Ort genutzt. „Wir haben uns zur Aufgabe gesetzt, die Wärmewende aktiv mitzugestalten. Und da ist es aus meiner Sicht ganz wichtig, dass wir das vor Ort mit dezentralen Energieversorgungskonzepten machen, die dazu dienen, wirklich aktiv einen lokalen Beitrag zum Klimaschutz zu leisten,“ erläutert Thomas </w:t>
            </w:r>
            <w:proofErr w:type="spellStart"/>
            <w:r>
              <w:rPr>
                <w:sz w:val="20"/>
                <w:szCs w:val="20"/>
              </w:rPr>
              <w:t>Breer</w:t>
            </w:r>
            <w:proofErr w:type="spellEnd"/>
            <w:r>
              <w:rPr>
                <w:sz w:val="20"/>
                <w:szCs w:val="20"/>
              </w:rPr>
              <w:t xml:space="preserve">, Geschäftsführer der Nienburg Energie GmbH. Über das </w:t>
            </w:r>
            <w:proofErr w:type="spellStart"/>
            <w:r>
              <w:rPr>
                <w:sz w:val="20"/>
                <w:szCs w:val="20"/>
              </w:rPr>
              <w:t>Contracting</w:t>
            </w:r>
            <w:proofErr w:type="spellEnd"/>
            <w:r>
              <w:rPr>
                <w:sz w:val="20"/>
                <w:szCs w:val="20"/>
              </w:rPr>
              <w:t>-Programm der städtischen Vertriebsgesellschaft für Erdgas, Strom, Wärme, Photovoltaik und Energiedienstleistungen wurden die Investitions- und Installationskosten der Photovoltaikmodule sowie die anschließende Wartung und eventuell anfallende Reparaturen von der Nienburg Energie übernommen. Die GBN zahlt dafür im Gegenzug einen festen monatlichen Betrag. Das sind gut kalkulierbare Kosten, die größtenteils über die Energieeinsparung und die Vergütung für den nicht benötigten Strom und dessen Einspeisung ins Versorgungsnetz finanziert werden.</w:t>
            </w:r>
          </w:p>
          <w:p w:rsidR="00712C3B" w:rsidRDefault="00000000">
            <w:pPr>
              <w:widowControl/>
              <w:spacing w:after="240"/>
              <w:rPr>
                <w:sz w:val="20"/>
                <w:szCs w:val="20"/>
              </w:rPr>
            </w:pPr>
            <w:r>
              <w:rPr>
                <w:sz w:val="20"/>
                <w:szCs w:val="20"/>
              </w:rPr>
              <w:t>Weitere Sanierungsmaßnahmen erfolgen erst in einem zweiten Schritt. Danach übernimmt die Wärmepumpe von ELCO komplett alleine die Wärmeversorgung der vier Mehrparteienhäuser und der Gas-Brennwert</w:t>
            </w:r>
            <w:r>
              <w:rPr>
                <w:sz w:val="20"/>
                <w:szCs w:val="22"/>
              </w:rPr>
              <w:t>-</w:t>
            </w:r>
            <w:r>
              <w:rPr>
                <w:sz w:val="20"/>
                <w:szCs w:val="20"/>
              </w:rPr>
              <w:t>kessel kann in anderen Objekten eingesetzt werden. „Von heute auf morgen einfach das Gas abstellen und auf andere Energieträger umzusatteln, das funktioniert gegenwärtig noch nicht. Deshalb sind wir über diese Hybrid</w:t>
            </w:r>
            <w:r>
              <w:rPr>
                <w:sz w:val="20"/>
                <w:szCs w:val="22"/>
              </w:rPr>
              <w:t>-</w:t>
            </w:r>
            <w:r>
              <w:rPr>
                <w:sz w:val="20"/>
                <w:szCs w:val="20"/>
              </w:rPr>
              <w:t>lösung mit ELCO sehr glücklich“, so Claus Vollmer, Geschäftsführer der städtischen Tochter GBN Wohnungsunternehmen GmbH. Auf diese Weise können auch ältere Gebäude energieeffizient mit Wärme versorgt werden, ohne sofort komplett saniert werden zu müssen. Die Hybridlösungen von ELCO bieten hierzu einen vielversprechenden gangbaren Weg hin zu einer klimaneutralen Zukunft im Bereich der Wohnungswirtschaft.</w:t>
            </w:r>
          </w:p>
          <w:p w:rsidR="0067377E" w:rsidRDefault="0067377E">
            <w:pPr>
              <w:widowControl/>
              <w:spacing w:after="240"/>
              <w:rPr>
                <w:sz w:val="20"/>
                <w:szCs w:val="20"/>
              </w:rPr>
            </w:pPr>
          </w:p>
          <w:p w:rsidR="00712C3B" w:rsidRDefault="00000000">
            <w:pPr>
              <w:widowControl/>
              <w:spacing w:after="240"/>
              <w:rPr>
                <w:sz w:val="20"/>
                <w:szCs w:val="20"/>
              </w:rPr>
            </w:pPr>
            <w:r>
              <w:rPr>
                <w:b/>
                <w:bCs/>
                <w:sz w:val="20"/>
                <w:szCs w:val="20"/>
              </w:rPr>
              <w:lastRenderedPageBreak/>
              <w:t xml:space="preserve">Wirtschaftlichkeit und Sicherheit zum Festpreis – der </w:t>
            </w:r>
            <w:proofErr w:type="gramStart"/>
            <w:r>
              <w:rPr>
                <w:b/>
                <w:bCs/>
                <w:sz w:val="20"/>
                <w:szCs w:val="20"/>
              </w:rPr>
              <w:t>ELCO Service</w:t>
            </w:r>
            <w:proofErr w:type="gramEnd"/>
          </w:p>
          <w:p w:rsidR="00712C3B" w:rsidRDefault="00000000">
            <w:pPr>
              <w:widowControl/>
              <w:spacing w:after="240"/>
              <w:rPr>
                <w:sz w:val="20"/>
                <w:szCs w:val="20"/>
              </w:rPr>
            </w:pPr>
            <w:r>
              <w:rPr>
                <w:sz w:val="20"/>
                <w:szCs w:val="20"/>
              </w:rPr>
              <w:t xml:space="preserve">Die Nienburg Energie GmbH ist ein langjähriger </w:t>
            </w:r>
            <w:proofErr w:type="gramStart"/>
            <w:r>
              <w:rPr>
                <w:sz w:val="20"/>
                <w:szCs w:val="20"/>
              </w:rPr>
              <w:t>ELCO Kunde</w:t>
            </w:r>
            <w:proofErr w:type="gramEnd"/>
            <w:r>
              <w:rPr>
                <w:sz w:val="20"/>
                <w:szCs w:val="20"/>
              </w:rPr>
              <w:t xml:space="preserve">, der besonderen Wert auf einen guten Service legt und diesen bei ELCO sehr schätzt. Der Service bei ELCO greift auf ein flächendeckendes Netz hochqualifizierter Service-Techniker zurück, die 24 Stunden am Tag, 365 Tage im Jahr für ihren Kundenkreis da sind. Es ist europaweit mit über 800 Mitarbeiterinnen und Mitarbeitern eines der größten Servicenetze der Branche. Und das zahlt sich auch für die Nienburg Energie aus. Denn regelmäßige Wartungen, Nachregulierungen und Funktionsprüfungen beeinflussen entscheidend die dauerhafte Zuverlässigkeit und Langlebigkeit der Heizanlagen. Außerdem beinhaltet der erstklassige Service auch die Inbetriebnahme jeder </w:t>
            </w:r>
            <w:proofErr w:type="gramStart"/>
            <w:r>
              <w:rPr>
                <w:sz w:val="20"/>
                <w:szCs w:val="20"/>
              </w:rPr>
              <w:t>ELCO Wärmepumpe</w:t>
            </w:r>
            <w:proofErr w:type="gramEnd"/>
            <w:r>
              <w:rPr>
                <w:sz w:val="20"/>
                <w:szCs w:val="20"/>
              </w:rPr>
              <w:t xml:space="preserve"> durch ELCO Kältetechniker. Mit den Longlife-Plus-Paketen für Gewerbe und Kommunen bzw. mit dem Rundum-Sorglos-Paket für Endkunden bietet </w:t>
            </w:r>
            <w:proofErr w:type="gramStart"/>
            <w:r>
              <w:rPr>
                <w:sz w:val="20"/>
                <w:szCs w:val="20"/>
              </w:rPr>
              <w:t>ELCO Wartungsverträge</w:t>
            </w:r>
            <w:proofErr w:type="gramEnd"/>
            <w:r>
              <w:rPr>
                <w:sz w:val="20"/>
                <w:szCs w:val="20"/>
              </w:rPr>
              <w:t>, die keine Wünsche offenlassen. Diese Garantieverlängerung auf 5 oder 10 Jahre gewährleistet einen reibungslosen Betrieb mit sofortigen Störungsbehebungen durch den rund um die Uhr verfügbaren Bereitschaftsdienst. Im Wartungsvertrag sind sämtliche Reparaturkosten sowie Originalersatz und -</w:t>
            </w:r>
            <w:proofErr w:type="spellStart"/>
            <w:r>
              <w:rPr>
                <w:sz w:val="20"/>
                <w:szCs w:val="20"/>
              </w:rPr>
              <w:t>verschleißteile</w:t>
            </w:r>
            <w:proofErr w:type="spellEnd"/>
            <w:r>
              <w:rPr>
                <w:sz w:val="20"/>
                <w:szCs w:val="20"/>
              </w:rPr>
              <w:t xml:space="preserve"> und die vorgeschriebenen Dichtheitsprüfungen inklusive, zusammen mit einer jährlichen Wartung ab dem zweiten Betriebsjahr. Dieser partnerschaftliche Kundenservice überzeugt, denn nur gemeinsam können die Herausforderungen der Wärmewende erfolgreich gemeistert werden.</w:t>
            </w:r>
          </w:p>
          <w:p w:rsidR="00712C3B" w:rsidRDefault="00000000">
            <w:pPr>
              <w:widowControl/>
              <w:spacing w:after="240"/>
              <w:rPr>
                <w:sz w:val="20"/>
                <w:szCs w:val="20"/>
              </w:rPr>
            </w:pPr>
            <w:r>
              <w:rPr>
                <w:sz w:val="20"/>
                <w:szCs w:val="20"/>
              </w:rPr>
              <w:t> </w:t>
            </w:r>
          </w:p>
          <w:p w:rsidR="00712C3B" w:rsidRDefault="00000000">
            <w:pPr>
              <w:widowControl/>
              <w:rPr>
                <w:sz w:val="20"/>
                <w:szCs w:val="20"/>
              </w:rPr>
            </w:pPr>
            <w:r>
              <w:rPr>
                <w:sz w:val="20"/>
                <w:szCs w:val="20"/>
              </w:rPr>
              <w:t>Hechingen, Juli 2024</w:t>
            </w:r>
            <w:r>
              <w:rPr>
                <w:sz w:val="20"/>
                <w:szCs w:val="20"/>
              </w:rPr>
              <w:br/>
              <w:t>Abdruck honorarfrei / Beleg erbeten</w:t>
            </w:r>
          </w:p>
        </w:tc>
        <w:tc>
          <w:tcPr>
            <w:tcW w:w="1500" w:type="pct"/>
            <w:tcBorders>
              <w:top w:val="nil"/>
              <w:left w:val="nil"/>
              <w:bottom w:val="nil"/>
              <w:right w:val="nil"/>
            </w:tcBorders>
            <w:tcMar>
              <w:top w:w="0" w:type="dxa"/>
              <w:left w:w="0" w:type="dxa"/>
              <w:bottom w:w="0" w:type="dxa"/>
              <w:right w:w="227" w:type="dxa"/>
            </w:tcMar>
          </w:tcPr>
          <w:p w:rsidR="00712C3B" w:rsidRDefault="00000000">
            <w:pPr>
              <w:widowControl/>
              <w:spacing w:after="240"/>
              <w:rPr>
                <w:sz w:val="20"/>
                <w:szCs w:val="20"/>
              </w:rPr>
            </w:pPr>
            <w:r>
              <w:rPr>
                <w:b/>
                <w:bCs/>
                <w:sz w:val="20"/>
                <w:szCs w:val="20"/>
              </w:rPr>
              <w:lastRenderedPageBreak/>
              <w:t>Ihr Ansprechpartner</w:t>
            </w:r>
            <w:r>
              <w:rPr>
                <w:sz w:val="20"/>
                <w:szCs w:val="20"/>
              </w:rPr>
              <w:br/>
              <w:t>Rainer Häupl</w:t>
            </w:r>
            <w:r>
              <w:rPr>
                <w:sz w:val="20"/>
                <w:szCs w:val="20"/>
              </w:rPr>
              <w:br/>
              <w:t>bering*</w:t>
            </w:r>
            <w:proofErr w:type="spellStart"/>
            <w:r>
              <w:rPr>
                <w:sz w:val="20"/>
                <w:szCs w:val="20"/>
              </w:rPr>
              <w:t>kopal</w:t>
            </w:r>
            <w:proofErr w:type="spellEnd"/>
            <w:r>
              <w:rPr>
                <w:sz w:val="20"/>
                <w:szCs w:val="20"/>
              </w:rPr>
              <w:t xml:space="preserve"> GbR </w:t>
            </w:r>
            <w:r>
              <w:rPr>
                <w:sz w:val="20"/>
                <w:szCs w:val="20"/>
              </w:rPr>
              <w:br/>
              <w:t>Büro für Kommunikation</w:t>
            </w:r>
            <w:r>
              <w:rPr>
                <w:sz w:val="20"/>
                <w:szCs w:val="20"/>
              </w:rPr>
              <w:br/>
              <w:t>t +49(0)711 7451759-16</w:t>
            </w:r>
            <w:r>
              <w:rPr>
                <w:sz w:val="20"/>
                <w:szCs w:val="20"/>
              </w:rPr>
              <w:br/>
              <w:t>rainer.haeupl@bering-kopal.de</w:t>
            </w:r>
            <w:r>
              <w:rPr>
                <w:sz w:val="20"/>
                <w:szCs w:val="20"/>
              </w:rPr>
              <w:br/>
              <w:t>www.bering-kopal.de</w:t>
            </w:r>
          </w:p>
          <w:p w:rsidR="00712C3B" w:rsidRDefault="00000000">
            <w:pPr>
              <w:widowControl/>
              <w:rPr>
                <w:sz w:val="20"/>
                <w:szCs w:val="20"/>
              </w:rPr>
            </w:pPr>
            <w:r>
              <w:rPr>
                <w:b/>
                <w:bCs/>
                <w:sz w:val="20"/>
                <w:szCs w:val="20"/>
              </w:rPr>
              <w:t>Unternehmenskontakt</w:t>
            </w:r>
            <w:r>
              <w:rPr>
                <w:sz w:val="20"/>
                <w:szCs w:val="20"/>
              </w:rPr>
              <w:br/>
              <w:t>Claudia Schmidt-</w:t>
            </w:r>
            <w:proofErr w:type="spellStart"/>
            <w:r>
              <w:rPr>
                <w:sz w:val="20"/>
                <w:szCs w:val="20"/>
              </w:rPr>
              <w:t>Totzki</w:t>
            </w:r>
            <w:proofErr w:type="spellEnd"/>
            <w:r>
              <w:rPr>
                <w:sz w:val="20"/>
                <w:szCs w:val="20"/>
              </w:rPr>
              <w:br/>
              <w:t>Marketing &amp; Communication Manager</w:t>
            </w:r>
            <w:r>
              <w:rPr>
                <w:sz w:val="20"/>
                <w:szCs w:val="20"/>
              </w:rPr>
              <w:br/>
              <w:t>ELCO GmbH</w:t>
            </w:r>
            <w:r>
              <w:rPr>
                <w:sz w:val="20"/>
                <w:szCs w:val="20"/>
              </w:rPr>
              <w:br/>
              <w:t xml:space="preserve">Part </w:t>
            </w:r>
            <w:proofErr w:type="spellStart"/>
            <w:r>
              <w:rPr>
                <w:sz w:val="20"/>
                <w:szCs w:val="20"/>
              </w:rPr>
              <w:t>of</w:t>
            </w:r>
            <w:proofErr w:type="spellEnd"/>
            <w:r>
              <w:rPr>
                <w:sz w:val="20"/>
                <w:szCs w:val="20"/>
              </w:rPr>
              <w:t xml:space="preserve"> </w:t>
            </w:r>
            <w:proofErr w:type="spellStart"/>
            <w:r>
              <w:rPr>
                <w:sz w:val="20"/>
                <w:szCs w:val="20"/>
              </w:rPr>
              <w:t>Ariston</w:t>
            </w:r>
            <w:proofErr w:type="spellEnd"/>
            <w:r>
              <w:rPr>
                <w:sz w:val="20"/>
                <w:szCs w:val="20"/>
              </w:rPr>
              <w:t xml:space="preserve"> Group</w:t>
            </w:r>
            <w:r>
              <w:rPr>
                <w:sz w:val="20"/>
                <w:szCs w:val="20"/>
              </w:rPr>
              <w:br/>
              <w:t>Hohenzollernstraße 31</w:t>
            </w:r>
            <w:r>
              <w:rPr>
                <w:sz w:val="20"/>
                <w:szCs w:val="20"/>
              </w:rPr>
              <w:br/>
              <w:t>72379 Hechingen</w:t>
            </w:r>
            <w:r>
              <w:rPr>
                <w:sz w:val="20"/>
                <w:szCs w:val="20"/>
              </w:rPr>
              <w:br/>
              <w:t>t +49(0)7471 187-409</w:t>
            </w:r>
            <w:r>
              <w:rPr>
                <w:sz w:val="20"/>
                <w:szCs w:val="20"/>
              </w:rPr>
              <w:br/>
              <w:t>claudia.totzki@de.elco.net</w:t>
            </w:r>
            <w:r>
              <w:rPr>
                <w:sz w:val="20"/>
                <w:szCs w:val="20"/>
              </w:rPr>
              <w:br/>
              <w:t>www.elco.de</w:t>
            </w:r>
          </w:p>
        </w:tc>
      </w:tr>
      <w:tr w:rsidR="00712C3B">
        <w:trPr>
          <w:gridAfter w:val="1"/>
          <w:wAfter w:w="2160" w:type="dxa"/>
        </w:trPr>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r>
    </w:tbl>
    <w:p w:rsidR="00712C3B" w:rsidRDefault="00000000">
      <w:pPr>
        <w:widowControl/>
      </w:pPr>
      <w:r>
        <w:br w:type="page"/>
      </w:r>
    </w:p>
    <w:p w:rsidR="00712C3B" w:rsidRDefault="00000000">
      <w:pPr>
        <w:widowControl/>
        <w:spacing w:line="240" w:lineRule="auto"/>
        <w:rPr>
          <w:sz w:val="17"/>
          <w:szCs w:val="17"/>
        </w:rPr>
      </w:pPr>
      <w:r>
        <w:rPr>
          <w:b/>
          <w:bCs/>
          <w:sz w:val="17"/>
          <w:szCs w:val="17"/>
        </w:rPr>
        <w:lastRenderedPageBreak/>
        <w:t>1</w:t>
      </w:r>
      <w:r>
        <w:rPr>
          <w:sz w:val="17"/>
          <w:szCs w:val="17"/>
        </w:rPr>
        <w:t xml:space="preserve"> Eine Komplettsanierung der vier Mehrparteienwohnhäuser von 1972 kam aktuell nicht in Frage. Dennoch konnte durch ein Hybridsystem, bestehend aus der Luft-Wasser Wärmepumpe AEROTOP® L65 und dem die Spitzenlast abdeckenden Gas-Brennwertkessel TRIGON® L PLUS von ELCO, die Energieeffizienz erheblich gesteigert werden. Foto: ELCO</w:t>
      </w:r>
      <w:r>
        <w:rPr>
          <w:sz w:val="17"/>
          <w:szCs w:val="17"/>
        </w:rPr>
        <w:br/>
      </w:r>
    </w:p>
    <w:p w:rsidR="00712C3B" w:rsidRDefault="00000000">
      <w:pPr>
        <w:widowControl/>
        <w:spacing w:line="240" w:lineRule="auto"/>
        <w:rPr>
          <w:sz w:val="17"/>
          <w:szCs w:val="17"/>
        </w:rPr>
      </w:pPr>
      <w:r>
        <w:rPr>
          <w:b/>
          <w:bCs/>
          <w:sz w:val="17"/>
          <w:szCs w:val="17"/>
        </w:rPr>
        <w:t>2</w:t>
      </w:r>
      <w:r>
        <w:rPr>
          <w:sz w:val="17"/>
          <w:szCs w:val="17"/>
        </w:rPr>
        <w:t xml:space="preserve"> Durch Einbindung einer Photovoltaikanlage auf den Dächern der gegenüberliegenden Garagen kann die Wärmepumpe mit dem lokal erzeugten Strom klimafreundlich betrieben werden. Foto: ELCO</w:t>
      </w:r>
      <w:r>
        <w:rPr>
          <w:sz w:val="17"/>
          <w:szCs w:val="17"/>
        </w:rPr>
        <w:br/>
      </w:r>
    </w:p>
    <w:p w:rsidR="00712C3B" w:rsidRDefault="00000000">
      <w:pPr>
        <w:widowControl/>
        <w:spacing w:line="240" w:lineRule="auto"/>
        <w:rPr>
          <w:sz w:val="17"/>
          <w:szCs w:val="17"/>
        </w:rPr>
      </w:pPr>
      <w:r>
        <w:rPr>
          <w:b/>
          <w:bCs/>
          <w:sz w:val="17"/>
          <w:szCs w:val="17"/>
        </w:rPr>
        <w:t>3</w:t>
      </w:r>
      <w:r>
        <w:rPr>
          <w:sz w:val="17"/>
          <w:szCs w:val="17"/>
        </w:rPr>
        <w:t xml:space="preserve"> Um das jeweils optimale Heizsystem für Energieeinsparungen bei verschiedenen Gebäuden zu ermitteln, arbeitet die GBN derzeit gemeinsam mit der Nienburg Energie an unterschiedlichen Lösungen. Foto: GBN Wohnungsunternehmen GmbH</w:t>
      </w:r>
      <w:r>
        <w:rPr>
          <w:sz w:val="17"/>
          <w:szCs w:val="17"/>
        </w:rPr>
        <w:br/>
      </w:r>
    </w:p>
    <w:p w:rsidR="00712C3B" w:rsidRDefault="00000000">
      <w:pPr>
        <w:widowControl/>
        <w:spacing w:line="240" w:lineRule="auto"/>
        <w:rPr>
          <w:sz w:val="17"/>
          <w:szCs w:val="17"/>
        </w:rPr>
      </w:pPr>
      <w:r>
        <w:rPr>
          <w:b/>
          <w:bCs/>
          <w:sz w:val="17"/>
          <w:szCs w:val="17"/>
        </w:rPr>
        <w:t>4</w:t>
      </w:r>
      <w:r>
        <w:rPr>
          <w:sz w:val="17"/>
          <w:szCs w:val="17"/>
        </w:rPr>
        <w:t xml:space="preserve"> Aus Sichtschutzgründen von Gabionen umgeben, befindet sich die Luft-Wasser Wärmepumpe AEROTOP® L65 von ELCO in der Grünanlage zwischen zwei der vier Häuser. Foto: ELCO</w:t>
      </w:r>
      <w:r>
        <w:rPr>
          <w:sz w:val="17"/>
          <w:szCs w:val="17"/>
        </w:rPr>
        <w:br/>
      </w:r>
      <w:r>
        <w:rPr>
          <w:sz w:val="17"/>
          <w:szCs w:val="17"/>
        </w:rPr>
        <w:br/>
      </w:r>
      <w:r>
        <w:rPr>
          <w:sz w:val="17"/>
          <w:szCs w:val="17"/>
        </w:rPr>
        <w:br/>
      </w:r>
    </w:p>
    <w:tbl>
      <w:tblPr>
        <w:tblStyle w:val="TabelleEinfach1"/>
        <w:tblW w:w="5000" w:type="pct"/>
        <w:tblInd w:w="-5" w:type="dxa"/>
        <w:tblCellMar>
          <w:left w:w="0" w:type="dxa"/>
          <w:right w:w="0" w:type="dxa"/>
        </w:tblCellMar>
        <w:tblLook w:val="04A0" w:firstRow="1" w:lastRow="0" w:firstColumn="1" w:lastColumn="0" w:noHBand="0" w:noVBand="1"/>
      </w:tblPr>
      <w:tblGrid>
        <w:gridCol w:w="4767"/>
        <w:gridCol w:w="218"/>
        <w:gridCol w:w="4767"/>
      </w:tblGrid>
      <w:tr w:rsidR="00712C3B">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2.</w:t>
            </w:r>
          </w:p>
        </w:tc>
      </w:tr>
      <w:tr w:rsidR="00712C3B">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dpi="0">
                          <a:blip r:embed="rId7"/>
                          <a:srcRect/>
                          <a:stretch>
                            <a:fillRect/>
                          </a:stretch>
                        </pic:blipFill>
                        <pic:spPr>
                          <a:xfrm>
                            <a:off x="0" y="0"/>
                            <a:ext cx="3023235" cy="1700530"/>
                          </a:xfrm>
                          <a:prstGeom prst="rect">
                            <a:avLst/>
                          </a:prstGeom>
                          <a:noFill/>
                          <a:ln>
                            <a:noFill/>
                          </a:ln>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dpi="0">
                          <a:blip r:embed="rId8"/>
                          <a:srcRect/>
                          <a:stretch>
                            <a:fillRect/>
                          </a:stretch>
                        </pic:blipFill>
                        <pic:spPr>
                          <a:xfrm>
                            <a:off x="0" y="0"/>
                            <a:ext cx="3023235" cy="1700530"/>
                          </a:xfrm>
                          <a:prstGeom prst="rect">
                            <a:avLst/>
                          </a:prstGeom>
                          <a:noFill/>
                          <a:ln>
                            <a:noFill/>
                          </a:ln>
                        </pic:spPr>
                      </pic:pic>
                    </a:graphicData>
                  </a:graphic>
                </wp:inline>
              </w:drawing>
            </w:r>
          </w:p>
        </w:tc>
      </w:tr>
      <w:tr w:rsidR="00712C3B">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r>
      <w:tr w:rsidR="00712C3B">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4.</w:t>
            </w:r>
          </w:p>
        </w:tc>
      </w:tr>
      <w:tr w:rsidR="00712C3B">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2684780" cy="2014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dpi="0">
                          <a:blip r:embed="rId9"/>
                          <a:srcRect/>
                          <a:stretch>
                            <a:fillRect/>
                          </a:stretch>
                        </pic:blipFill>
                        <pic:spPr>
                          <a:xfrm>
                            <a:off x="0" y="0"/>
                            <a:ext cx="2684780" cy="2014220"/>
                          </a:xfrm>
                          <a:prstGeom prst="rect">
                            <a:avLst/>
                          </a:prstGeom>
                          <a:noFill/>
                          <a:ln>
                            <a:noFill/>
                          </a:ln>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dpi="0">
                          <a:blip r:embed="rId10"/>
                          <a:srcRect/>
                          <a:stretch>
                            <a:fillRect/>
                          </a:stretch>
                        </pic:blipFill>
                        <pic:spPr>
                          <a:xfrm>
                            <a:off x="0" y="0"/>
                            <a:ext cx="3023235" cy="1700530"/>
                          </a:xfrm>
                          <a:prstGeom prst="rect">
                            <a:avLst/>
                          </a:prstGeom>
                          <a:noFill/>
                          <a:ln>
                            <a:noFill/>
                          </a:ln>
                        </pic:spPr>
                      </pic:pic>
                    </a:graphicData>
                  </a:graphic>
                </wp:inline>
              </w:drawing>
            </w:r>
          </w:p>
        </w:tc>
      </w:tr>
    </w:tbl>
    <w:p w:rsidR="00712C3B" w:rsidRDefault="00000000">
      <w:pPr>
        <w:widowControl/>
        <w:spacing w:line="240" w:lineRule="auto"/>
      </w:pPr>
      <w:r>
        <w:br w:type="page"/>
      </w:r>
    </w:p>
    <w:p w:rsidR="00712C3B" w:rsidRDefault="00000000">
      <w:pPr>
        <w:widowControl/>
        <w:spacing w:line="240" w:lineRule="auto"/>
        <w:rPr>
          <w:sz w:val="17"/>
          <w:szCs w:val="17"/>
        </w:rPr>
      </w:pPr>
      <w:r>
        <w:rPr>
          <w:b/>
          <w:bCs/>
          <w:sz w:val="17"/>
          <w:szCs w:val="17"/>
        </w:rPr>
        <w:lastRenderedPageBreak/>
        <w:t>5</w:t>
      </w:r>
      <w:r>
        <w:rPr>
          <w:sz w:val="17"/>
          <w:szCs w:val="17"/>
        </w:rPr>
        <w:t xml:space="preserve"> Sobald an den Gebäuden weitere Sanierungsmaßnahmen umgesetzt werden, kann die Luft-Wasser Wärmepumpe AEROTOP® L65 von ELCO die Wärmeerzeugung der Mehrparteienwohnhäuser alleine übernehmen. Foto: ELCO</w:t>
      </w:r>
      <w:r>
        <w:rPr>
          <w:sz w:val="17"/>
          <w:szCs w:val="17"/>
        </w:rPr>
        <w:br/>
      </w:r>
    </w:p>
    <w:p w:rsidR="00712C3B" w:rsidRDefault="00000000">
      <w:pPr>
        <w:widowControl/>
        <w:spacing w:line="240" w:lineRule="auto"/>
        <w:rPr>
          <w:sz w:val="17"/>
          <w:szCs w:val="17"/>
        </w:rPr>
      </w:pPr>
      <w:r>
        <w:rPr>
          <w:b/>
          <w:bCs/>
          <w:sz w:val="17"/>
          <w:szCs w:val="17"/>
        </w:rPr>
        <w:t>6</w:t>
      </w:r>
      <w:r>
        <w:rPr>
          <w:sz w:val="17"/>
          <w:szCs w:val="17"/>
        </w:rPr>
        <w:t xml:space="preserve"> Ein besonderer Service von ELCO: Jede ELCO-Wärmepumpe wird von einem qualifizierten ELCO-Kältetechniker in Betrieb genommen. Foto: ELCO</w:t>
      </w:r>
      <w:r>
        <w:rPr>
          <w:sz w:val="17"/>
          <w:szCs w:val="17"/>
        </w:rPr>
        <w:br/>
      </w:r>
    </w:p>
    <w:p w:rsidR="00712C3B" w:rsidRDefault="00000000">
      <w:pPr>
        <w:widowControl/>
        <w:spacing w:line="240" w:lineRule="auto"/>
        <w:rPr>
          <w:sz w:val="17"/>
          <w:szCs w:val="17"/>
        </w:rPr>
      </w:pPr>
      <w:r>
        <w:rPr>
          <w:b/>
          <w:bCs/>
          <w:sz w:val="17"/>
          <w:szCs w:val="17"/>
        </w:rPr>
        <w:t>7</w:t>
      </w:r>
      <w:r>
        <w:rPr>
          <w:sz w:val="17"/>
          <w:szCs w:val="17"/>
        </w:rPr>
        <w:t xml:space="preserve"> Der Gas-Brennwertkessel TRIGON® L PLUS von ELCO deckt aktuell die Spitzenlast bei der Wärmeerzeugung ab und wird nach weiteren Sanierungsmaßnahmen der Häuser nicht mehr benötigt. Er kann dann bei anderen Objekten zum Einsatz kommen. Foto: ELCO</w:t>
      </w:r>
      <w:r>
        <w:rPr>
          <w:sz w:val="17"/>
          <w:szCs w:val="17"/>
        </w:rPr>
        <w:br/>
      </w:r>
    </w:p>
    <w:p w:rsidR="00712C3B" w:rsidRDefault="00000000">
      <w:pPr>
        <w:widowControl/>
        <w:spacing w:line="240" w:lineRule="auto"/>
        <w:rPr>
          <w:sz w:val="17"/>
          <w:szCs w:val="17"/>
        </w:rPr>
      </w:pPr>
      <w:r>
        <w:rPr>
          <w:b/>
          <w:bCs/>
          <w:sz w:val="17"/>
          <w:szCs w:val="17"/>
        </w:rPr>
        <w:t>8</w:t>
      </w:r>
      <w:r>
        <w:rPr>
          <w:sz w:val="17"/>
          <w:szCs w:val="17"/>
        </w:rPr>
        <w:t xml:space="preserve"> In den Longlife- bzw. den Rundum-Sorglos-Wartungspaketen von ELCO sind sämtliche Reparaturkosten sowie Originalersatz und -</w:t>
      </w:r>
      <w:proofErr w:type="spellStart"/>
      <w:r>
        <w:rPr>
          <w:sz w:val="17"/>
          <w:szCs w:val="17"/>
        </w:rPr>
        <w:t>verschleißteile</w:t>
      </w:r>
      <w:proofErr w:type="spellEnd"/>
      <w:r>
        <w:rPr>
          <w:sz w:val="17"/>
          <w:szCs w:val="17"/>
        </w:rPr>
        <w:t xml:space="preserve"> und die vorgeschriebenen Dichtheitsprüfungen inklusive. Das bedeutet reibungslose Betriebs- und Kostensicherheit für bis zu 10 Jahre. Foto: ELCO</w:t>
      </w:r>
      <w:r>
        <w:rPr>
          <w:sz w:val="17"/>
          <w:szCs w:val="17"/>
        </w:rPr>
        <w:br/>
      </w:r>
      <w:r>
        <w:rPr>
          <w:sz w:val="17"/>
          <w:szCs w:val="17"/>
        </w:rPr>
        <w:br/>
      </w:r>
      <w:r>
        <w:rPr>
          <w:sz w:val="17"/>
          <w:szCs w:val="17"/>
        </w:rPr>
        <w:br/>
      </w:r>
    </w:p>
    <w:tbl>
      <w:tblPr>
        <w:tblStyle w:val="TabelleEinfach1"/>
        <w:tblW w:w="5000" w:type="pct"/>
        <w:tblInd w:w="-5" w:type="dxa"/>
        <w:tblCellMar>
          <w:left w:w="0" w:type="dxa"/>
          <w:right w:w="0" w:type="dxa"/>
        </w:tblCellMar>
        <w:tblLook w:val="04A0" w:firstRow="1" w:lastRow="0" w:firstColumn="1" w:lastColumn="0" w:noHBand="0" w:noVBand="1"/>
      </w:tblPr>
      <w:tblGrid>
        <w:gridCol w:w="4767"/>
        <w:gridCol w:w="218"/>
        <w:gridCol w:w="4767"/>
      </w:tblGrid>
      <w:tr w:rsidR="00712C3B">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6.</w:t>
            </w:r>
          </w:p>
        </w:tc>
      </w:tr>
      <w:tr w:rsidR="00712C3B">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dpi="0">
                          <a:blip r:embed="rId11"/>
                          <a:srcRect/>
                          <a:stretch>
                            <a:fillRect/>
                          </a:stretch>
                        </pic:blipFill>
                        <pic:spPr>
                          <a:xfrm>
                            <a:off x="0" y="0"/>
                            <a:ext cx="3023235" cy="1700530"/>
                          </a:xfrm>
                          <a:prstGeom prst="rect">
                            <a:avLst/>
                          </a:prstGeom>
                          <a:noFill/>
                          <a:ln>
                            <a:noFill/>
                          </a:ln>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dpi="0">
                          <a:blip r:embed="rId12"/>
                          <a:srcRect/>
                          <a:stretch>
                            <a:fillRect/>
                          </a:stretch>
                        </pic:blipFill>
                        <pic:spPr>
                          <a:xfrm>
                            <a:off x="0" y="0"/>
                            <a:ext cx="3023235" cy="1700530"/>
                          </a:xfrm>
                          <a:prstGeom prst="rect">
                            <a:avLst/>
                          </a:prstGeom>
                          <a:noFill/>
                          <a:ln>
                            <a:noFill/>
                          </a:ln>
                        </pic:spPr>
                      </pic:pic>
                    </a:graphicData>
                  </a:graphic>
                </wp:inline>
              </w:drawing>
            </w:r>
          </w:p>
        </w:tc>
      </w:tr>
      <w:tr w:rsidR="00712C3B">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r>
      <w:tr w:rsidR="00712C3B">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8.</w:t>
            </w:r>
          </w:p>
        </w:tc>
      </w:tr>
      <w:tr w:rsidR="00712C3B">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dpi="0">
                          <a:blip r:embed="rId13"/>
                          <a:srcRect/>
                          <a:stretch>
                            <a:fillRect/>
                          </a:stretch>
                        </pic:blipFill>
                        <pic:spPr>
                          <a:xfrm>
                            <a:off x="0" y="0"/>
                            <a:ext cx="3023235" cy="1700530"/>
                          </a:xfrm>
                          <a:prstGeom prst="rect">
                            <a:avLst/>
                          </a:prstGeom>
                          <a:noFill/>
                          <a:ln>
                            <a:noFill/>
                          </a:ln>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dpi="0">
                          <a:blip r:embed="rId14"/>
                          <a:srcRect/>
                          <a:stretch>
                            <a:fillRect/>
                          </a:stretch>
                        </pic:blipFill>
                        <pic:spPr>
                          <a:xfrm>
                            <a:off x="0" y="0"/>
                            <a:ext cx="3023235" cy="1700530"/>
                          </a:xfrm>
                          <a:prstGeom prst="rect">
                            <a:avLst/>
                          </a:prstGeom>
                          <a:noFill/>
                          <a:ln>
                            <a:noFill/>
                          </a:ln>
                        </pic:spPr>
                      </pic:pic>
                    </a:graphicData>
                  </a:graphic>
                </wp:inline>
              </w:drawing>
            </w:r>
          </w:p>
        </w:tc>
      </w:tr>
    </w:tbl>
    <w:p w:rsidR="00712C3B" w:rsidRDefault="00000000">
      <w:pPr>
        <w:widowControl/>
        <w:spacing w:line="240" w:lineRule="auto"/>
      </w:pPr>
      <w:r>
        <w:br w:type="page"/>
      </w:r>
    </w:p>
    <w:p w:rsidR="00712C3B" w:rsidRDefault="00000000">
      <w:pPr>
        <w:widowControl/>
        <w:spacing w:line="240" w:lineRule="auto"/>
        <w:rPr>
          <w:sz w:val="17"/>
          <w:szCs w:val="17"/>
        </w:rPr>
      </w:pPr>
      <w:r>
        <w:rPr>
          <w:b/>
          <w:bCs/>
          <w:sz w:val="17"/>
          <w:szCs w:val="17"/>
        </w:rPr>
        <w:lastRenderedPageBreak/>
        <w:t>9</w:t>
      </w:r>
      <w:r>
        <w:rPr>
          <w:sz w:val="17"/>
          <w:szCs w:val="17"/>
        </w:rPr>
        <w:t xml:space="preserve"> Das flächendeckende Service-Netz von ELCO mit seinen hochqualifizierten Service-Technikern ist 24 Stunden am Tag, 365 Tage im Einsatz. Foto: ELCO</w:t>
      </w:r>
      <w:r>
        <w:rPr>
          <w:sz w:val="17"/>
          <w:szCs w:val="17"/>
        </w:rPr>
        <w:br/>
      </w:r>
      <w:r>
        <w:rPr>
          <w:sz w:val="17"/>
          <w:szCs w:val="17"/>
        </w:rPr>
        <w:br/>
      </w:r>
      <w:r>
        <w:rPr>
          <w:sz w:val="17"/>
          <w:szCs w:val="17"/>
        </w:rPr>
        <w:br/>
      </w:r>
    </w:p>
    <w:tbl>
      <w:tblPr>
        <w:tblStyle w:val="TabelleEinfach1"/>
        <w:tblW w:w="5000" w:type="pct"/>
        <w:tblInd w:w="-5" w:type="dxa"/>
        <w:tblCellMar>
          <w:left w:w="0" w:type="dxa"/>
          <w:right w:w="0" w:type="dxa"/>
        </w:tblCellMar>
        <w:tblLook w:val="04A0" w:firstRow="1" w:lastRow="0" w:firstColumn="1" w:lastColumn="0" w:noHBand="0" w:noVBand="1"/>
      </w:tblPr>
      <w:tblGrid>
        <w:gridCol w:w="4767"/>
        <w:gridCol w:w="218"/>
        <w:gridCol w:w="4767"/>
      </w:tblGrid>
      <w:tr w:rsidR="00712C3B">
        <w:tc>
          <w:tcPr>
            <w:tcW w:w="2444" w:type="pct"/>
            <w:tcBorders>
              <w:top w:val="nil"/>
              <w:left w:val="nil"/>
              <w:bottom w:val="nil"/>
              <w:right w:val="nil"/>
            </w:tcBorders>
            <w:tcMar>
              <w:top w:w="0" w:type="dxa"/>
              <w:left w:w="0" w:type="dxa"/>
              <w:bottom w:w="0" w:type="dxa"/>
              <w:right w:w="0" w:type="dxa"/>
            </w:tcMar>
          </w:tcPr>
          <w:p w:rsidR="00712C3B" w:rsidRDefault="00000000">
            <w:pPr>
              <w:keepNext/>
              <w:keepLines/>
              <w:widowControl/>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4"/>
                <w:szCs w:val="14"/>
              </w:rPr>
            </w:pPr>
          </w:p>
        </w:tc>
      </w:tr>
      <w:tr w:rsidR="00712C3B">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712C3B" w:rsidRDefault="00000000">
            <w:pPr>
              <w:keepNext/>
              <w:keepLines/>
              <w:widowControl/>
              <w:spacing w:line="240" w:lineRule="auto"/>
              <w:rPr>
                <w:sz w:val="14"/>
                <w:szCs w:val="14"/>
              </w:rPr>
            </w:pPr>
            <w:r>
              <w:rPr>
                <w:noProof/>
                <w:sz w:val="14"/>
                <w:szCs w:val="14"/>
              </w:rPr>
              <w:drawing>
                <wp:inline distT="0" distB="0" distL="0" distR="0">
                  <wp:extent cx="3023235" cy="17005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dpi="0">
                          <a:blip r:embed="rId15"/>
                          <a:srcRect/>
                          <a:stretch>
                            <a:fillRect/>
                          </a:stretch>
                        </pic:blipFill>
                        <pic:spPr>
                          <a:xfrm>
                            <a:off x="0" y="0"/>
                            <a:ext cx="3023235" cy="1700530"/>
                          </a:xfrm>
                          <a:prstGeom prst="rect">
                            <a:avLst/>
                          </a:prstGeom>
                          <a:noFill/>
                          <a:ln>
                            <a:noFill/>
                          </a:ln>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r>
      <w:tr w:rsidR="00712C3B">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r>
      <w:tr w:rsidR="00712C3B">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r>
      <w:tr w:rsidR="00712C3B">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712C3B" w:rsidRDefault="00712C3B">
            <w:pPr>
              <w:keepNext/>
              <w:keepLines/>
              <w:widowControl/>
              <w:spacing w:line="240" w:lineRule="auto"/>
              <w:rPr>
                <w:sz w:val="17"/>
                <w:szCs w:val="17"/>
              </w:rPr>
            </w:pPr>
          </w:p>
        </w:tc>
      </w:tr>
    </w:tbl>
    <w:p w:rsidR="00712C3B" w:rsidRDefault="00000000">
      <w:pPr>
        <w:widowControl/>
        <w:spacing w:line="240" w:lineRule="auto"/>
      </w:pPr>
      <w:r>
        <w:br w:type="page"/>
      </w:r>
    </w:p>
    <w:tbl>
      <w:tblPr>
        <w:tblStyle w:val="TabelleEinfach1"/>
        <w:tblW w:w="5000" w:type="pct"/>
        <w:tblInd w:w="-5" w:type="dxa"/>
        <w:tblCellMar>
          <w:left w:w="0" w:type="dxa"/>
          <w:right w:w="227" w:type="dxa"/>
        </w:tblCellMar>
        <w:tblLook w:val="04A0" w:firstRow="1" w:lastRow="0" w:firstColumn="1" w:lastColumn="0" w:noHBand="0" w:noVBand="1"/>
      </w:tblPr>
      <w:tblGrid>
        <w:gridCol w:w="3413"/>
        <w:gridCol w:w="3413"/>
        <w:gridCol w:w="2926"/>
      </w:tblGrid>
      <w:tr w:rsidR="00712C3B">
        <w:tc>
          <w:tcPr>
            <w:tcW w:w="3500" w:type="pct"/>
            <w:gridSpan w:val="2"/>
            <w:tcBorders>
              <w:top w:val="nil"/>
              <w:left w:val="nil"/>
              <w:bottom w:val="nil"/>
              <w:right w:val="nil"/>
            </w:tcBorders>
            <w:tcMar>
              <w:top w:w="0" w:type="dxa"/>
              <w:left w:w="0" w:type="dxa"/>
              <w:bottom w:w="0" w:type="dxa"/>
              <w:right w:w="227" w:type="dxa"/>
            </w:tcMar>
          </w:tcPr>
          <w:p w:rsidR="00712C3B" w:rsidRDefault="00000000">
            <w:pPr>
              <w:widowControl/>
              <w:spacing w:before="240" w:after="240"/>
              <w:rPr>
                <w:sz w:val="20"/>
                <w:szCs w:val="20"/>
              </w:rPr>
            </w:pPr>
            <w:r>
              <w:rPr>
                <w:b/>
                <w:bCs/>
                <w:sz w:val="20"/>
                <w:szCs w:val="20"/>
              </w:rPr>
              <w:lastRenderedPageBreak/>
              <w:t>Über ELCO</w:t>
            </w:r>
          </w:p>
          <w:p w:rsidR="00712C3B" w:rsidRDefault="00000000">
            <w:pPr>
              <w:widowControl/>
              <w:spacing w:before="240" w:after="240"/>
              <w:rPr>
                <w:sz w:val="20"/>
                <w:szCs w:val="20"/>
              </w:rPr>
            </w:pPr>
            <w:r>
              <w:rPr>
                <w:sz w:val="20"/>
                <w:szCs w:val="20"/>
              </w:rPr>
              <w:t xml:space="preserve">ELCO bietet langlebige, klimaschonende und hocheffiziente Heizlösungen für Neubau, Sanierung, Modernisierung und Nachrüstung und ist in Europa eine führende Marke für private, gewerbliche und kommunale Heizsysteme. Seit über 90 Jahren ist </w:t>
            </w:r>
            <w:proofErr w:type="gramStart"/>
            <w:r>
              <w:rPr>
                <w:sz w:val="20"/>
                <w:szCs w:val="20"/>
              </w:rPr>
              <w:t>ELCO Pionier</w:t>
            </w:r>
            <w:proofErr w:type="gramEnd"/>
            <w:r>
              <w:rPr>
                <w:sz w:val="20"/>
                <w:szCs w:val="20"/>
              </w:rPr>
              <w:t xml:space="preserve"> in der Entwicklung und Herstellung hochwertiger und langlebiger Heizungsprodukte und setzt dabei immer wieder neue Maßstäbe in der Branche. Heute ist ELCO durch seine mehrfach ausgezeichneten Wärmepumpen Wegbereiter der Wärmewende. Der Service steht dabei an erster Stelle: Heizungsbauer und Heizungskunden werden von der Planungsphase über die Installation und Inbetriebnahme bis zur Abnahme bestens betreut. Mit seinem flächendeckenden Servicenetz mit über 300 Servicemitarbeiterinnen und -mitarbeitern, die rund um die Uhr bundesweit im Einsatz sind, steht ELCO für einen herausragenden Kundenservice. ELCO ist Teil der </w:t>
            </w:r>
            <w:proofErr w:type="spellStart"/>
            <w:r>
              <w:rPr>
                <w:sz w:val="20"/>
                <w:szCs w:val="20"/>
              </w:rPr>
              <w:t>Ariston</w:t>
            </w:r>
            <w:proofErr w:type="spellEnd"/>
            <w:r>
              <w:rPr>
                <w:sz w:val="20"/>
                <w:szCs w:val="20"/>
              </w:rPr>
              <w:t xml:space="preserve"> Group, einem der weltweit führenden Hersteller von nachhaltigen Lösungen zur Warmwasserbereitung und Heiztechnik mit über 10.000 Mitarbeitern und einem Gesamtumsatz von 3,1 Milliarden Euro.</w:t>
            </w:r>
          </w:p>
          <w:p w:rsidR="00712C3B" w:rsidRDefault="00000000">
            <w:pPr>
              <w:widowControl/>
              <w:spacing w:before="240" w:after="240"/>
              <w:rPr>
                <w:sz w:val="20"/>
                <w:szCs w:val="20"/>
              </w:rPr>
            </w:pPr>
            <w:hyperlink r:id="rId16" w:tgtFrame="_blank">
              <w:r>
                <w:rPr>
                  <w:rStyle w:val="Hyperlink"/>
                  <w:color w:val="000000"/>
                  <w:sz w:val="20"/>
                  <w:szCs w:val="20"/>
                </w:rPr>
                <w:t>www.elco.de</w:t>
              </w:r>
            </w:hyperlink>
          </w:p>
          <w:p w:rsidR="00712C3B" w:rsidRDefault="00000000">
            <w:pPr>
              <w:widowControl/>
              <w:rPr>
                <w:sz w:val="20"/>
                <w:szCs w:val="20"/>
              </w:rPr>
            </w:pPr>
            <w:r>
              <w:rPr>
                <w:sz w:val="20"/>
                <w:szCs w:val="20"/>
              </w:rPr>
              <w:br/>
            </w:r>
          </w:p>
        </w:tc>
        <w:tc>
          <w:tcPr>
            <w:tcW w:w="1500" w:type="pct"/>
            <w:tcBorders>
              <w:top w:val="nil"/>
              <w:left w:val="nil"/>
              <w:bottom w:val="nil"/>
              <w:right w:val="nil"/>
            </w:tcBorders>
            <w:tcMar>
              <w:top w:w="0" w:type="dxa"/>
              <w:left w:w="0" w:type="dxa"/>
              <w:bottom w:w="0" w:type="dxa"/>
              <w:right w:w="227" w:type="dxa"/>
            </w:tcMar>
          </w:tcPr>
          <w:p w:rsidR="00712C3B" w:rsidRDefault="00000000">
            <w:pPr>
              <w:widowControl/>
              <w:rPr>
                <w:sz w:val="20"/>
                <w:szCs w:val="20"/>
              </w:rPr>
            </w:pPr>
            <w:r>
              <w:rPr>
                <w:sz w:val="20"/>
                <w:szCs w:val="20"/>
              </w:rPr>
              <w:br/>
            </w:r>
          </w:p>
        </w:tc>
      </w:tr>
      <w:tr w:rsidR="00712C3B">
        <w:trPr>
          <w:gridAfter w:val="1"/>
          <w:wAfter w:w="2160" w:type="dxa"/>
        </w:trPr>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r>
    </w:tbl>
    <w:p w:rsidR="00712C3B" w:rsidRDefault="00000000">
      <w:pPr>
        <w:widowControl/>
        <w:spacing w:line="240" w:lineRule="auto"/>
      </w:pPr>
      <w:r>
        <w:br/>
      </w:r>
    </w:p>
    <w:tbl>
      <w:tblPr>
        <w:tblStyle w:val="TabelleEinfach1"/>
        <w:tblW w:w="5000" w:type="pct"/>
        <w:tblInd w:w="-5" w:type="dxa"/>
        <w:tblCellMar>
          <w:left w:w="0" w:type="dxa"/>
          <w:right w:w="227" w:type="dxa"/>
        </w:tblCellMar>
        <w:tblLook w:val="04A0" w:firstRow="1" w:lastRow="0" w:firstColumn="1" w:lastColumn="0" w:noHBand="0" w:noVBand="1"/>
      </w:tblPr>
      <w:tblGrid>
        <w:gridCol w:w="3413"/>
        <w:gridCol w:w="3413"/>
        <w:gridCol w:w="2926"/>
      </w:tblGrid>
      <w:tr w:rsidR="00712C3B">
        <w:tc>
          <w:tcPr>
            <w:tcW w:w="3500" w:type="pct"/>
            <w:gridSpan w:val="2"/>
            <w:tcBorders>
              <w:top w:val="nil"/>
              <w:left w:val="nil"/>
              <w:bottom w:val="nil"/>
              <w:right w:val="nil"/>
            </w:tcBorders>
            <w:tcMar>
              <w:top w:w="0" w:type="dxa"/>
              <w:left w:w="0" w:type="dxa"/>
              <w:bottom w:w="0" w:type="dxa"/>
              <w:right w:w="227" w:type="dxa"/>
            </w:tcMar>
          </w:tcPr>
          <w:p w:rsidR="00712C3B" w:rsidRDefault="00000000">
            <w:pPr>
              <w:widowControl/>
              <w:rPr>
                <w:sz w:val="20"/>
                <w:szCs w:val="20"/>
              </w:rPr>
            </w:pPr>
            <w:r>
              <w:rPr>
                <w:b/>
                <w:bCs/>
                <w:sz w:val="20"/>
                <w:szCs w:val="20"/>
              </w:rPr>
              <w:t>QR-Code der Medieninformation</w:t>
            </w:r>
          </w:p>
        </w:tc>
        <w:tc>
          <w:tcPr>
            <w:tcW w:w="1500" w:type="pct"/>
            <w:tcBorders>
              <w:top w:val="nil"/>
              <w:left w:val="nil"/>
              <w:bottom w:val="nil"/>
              <w:right w:val="nil"/>
            </w:tcBorders>
            <w:tcMar>
              <w:top w:w="0" w:type="dxa"/>
              <w:left w:w="0" w:type="dxa"/>
              <w:bottom w:w="0" w:type="dxa"/>
              <w:right w:w="227" w:type="dxa"/>
            </w:tcMar>
          </w:tcPr>
          <w:p w:rsidR="00712C3B" w:rsidRDefault="00000000">
            <w:pPr>
              <w:widowControl/>
              <w:rPr>
                <w:sz w:val="20"/>
                <w:szCs w:val="20"/>
              </w:rPr>
            </w:pPr>
            <w:r>
              <w:rPr>
                <w:sz w:val="20"/>
                <w:szCs w:val="20"/>
              </w:rPr>
              <w:br/>
            </w:r>
          </w:p>
        </w:tc>
      </w:tr>
      <w:tr w:rsidR="00712C3B">
        <w:trPr>
          <w:gridAfter w:val="1"/>
          <w:wAfter w:w="2160" w:type="dxa"/>
        </w:trPr>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c>
          <w:tcPr>
            <w:tcW w:w="2520" w:type="dxa"/>
            <w:tcBorders>
              <w:top w:val="nil"/>
              <w:left w:val="nil"/>
              <w:bottom w:val="nil"/>
              <w:right w:val="nil"/>
            </w:tcBorders>
            <w:tcMar>
              <w:top w:w="0" w:type="dxa"/>
              <w:left w:w="0" w:type="dxa"/>
              <w:bottom w:w="0" w:type="dxa"/>
              <w:right w:w="227" w:type="dxa"/>
            </w:tcMar>
          </w:tcPr>
          <w:p w:rsidR="00712C3B" w:rsidRDefault="00712C3B">
            <w:pPr>
              <w:widowControl/>
              <w:rPr>
                <w:sz w:val="20"/>
                <w:szCs w:val="20"/>
              </w:rPr>
            </w:pPr>
          </w:p>
        </w:tc>
      </w:tr>
    </w:tbl>
    <w:p w:rsidR="00712C3B" w:rsidRDefault="00000000">
      <w:pPr>
        <w:widowControl/>
      </w:pPr>
      <w:r>
        <w:rPr>
          <w:noProof/>
          <w:sz w:val="18"/>
          <w:szCs w:val="18"/>
        </w:rPr>
        <w:drawing>
          <wp:inline distT="0" distB="0" distL="0" distR="0">
            <wp:extent cx="1800860" cy="18008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dpi="0">
                    <a:blip r:embed="rId17"/>
                    <a:srcRect/>
                    <a:stretch>
                      <a:fillRect/>
                    </a:stretch>
                  </pic:blipFill>
                  <pic:spPr>
                    <a:xfrm>
                      <a:off x="0" y="0"/>
                      <a:ext cx="1800860" cy="1800860"/>
                    </a:xfrm>
                    <a:prstGeom prst="rect">
                      <a:avLst/>
                    </a:prstGeom>
                    <a:noFill/>
                    <a:ln>
                      <a:noFill/>
                    </a:ln>
                  </pic:spPr>
                </pic:pic>
              </a:graphicData>
            </a:graphic>
          </wp:inline>
        </w:drawing>
      </w:r>
      <w:r>
        <w:rPr>
          <w:sz w:val="18"/>
          <w:szCs w:val="18"/>
        </w:rPr>
        <w:br/>
      </w:r>
    </w:p>
    <w:sectPr w:rsidR="00712C3B">
      <w:headerReference w:type="default" r:id="rId18"/>
      <w:footerReference w:type="default" r:id="rId19"/>
      <w:headerReference w:type="first" r:id="rId20"/>
      <w:footerReference w:type="first" r:id="rId21"/>
      <w:pgSz w:w="11906" w:h="16838"/>
      <w:pgMar w:top="209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C4F98" w:rsidRDefault="004C4F98">
      <w:pPr>
        <w:spacing w:line="240" w:lineRule="auto"/>
      </w:pPr>
      <w:r>
        <w:separator/>
      </w:r>
    </w:p>
  </w:endnote>
  <w:endnote w:type="continuationSeparator" w:id="0">
    <w:p w:rsidR="004C4F98" w:rsidRDefault="004C4F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Ind w:w="-5" w:type="dxa"/>
      <w:tblLook w:val="04A0" w:firstRow="1" w:lastRow="0" w:firstColumn="1" w:lastColumn="0" w:noHBand="0" w:noVBand="1"/>
    </w:tblPr>
    <w:tblGrid>
      <w:gridCol w:w="9557"/>
      <w:gridCol w:w="195"/>
    </w:tblGrid>
    <w:tr w:rsidR="00712C3B">
      <w:tc>
        <w:tcPr>
          <w:tcW w:w="4900" w:type="pct"/>
          <w:tcBorders>
            <w:top w:val="nil"/>
            <w:left w:val="nil"/>
            <w:bottom w:val="nil"/>
            <w:right w:val="nil"/>
          </w:tcBorders>
          <w:tcMar>
            <w:top w:w="0" w:type="dxa"/>
            <w:left w:w="0" w:type="dxa"/>
            <w:bottom w:w="0" w:type="dxa"/>
            <w:right w:w="0" w:type="dxa"/>
          </w:tcMar>
          <w:vAlign w:val="bottom"/>
        </w:tcPr>
        <w:p w:rsidR="00712C3B" w:rsidRDefault="00712C3B">
          <w:pPr>
            <w:widowControl/>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712C3B" w:rsidRDefault="00712C3B">
          <w:pPr>
            <w:widowControl/>
            <w:rPr>
              <w:sz w:val="14"/>
              <w:szCs w:val="14"/>
            </w:rPr>
          </w:pPr>
        </w:p>
      </w:tc>
    </w:tr>
  </w:tbl>
  <w:p w:rsidR="00712C3B" w:rsidRDefault="00712C3B">
    <w:pPr>
      <w:widowControl/>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Ind w:w="-5" w:type="dxa"/>
      <w:tblCellMar>
        <w:left w:w="0" w:type="dxa"/>
        <w:right w:w="0" w:type="dxa"/>
      </w:tblCellMar>
      <w:tblLook w:val="04A0" w:firstRow="1" w:lastRow="0" w:firstColumn="1" w:lastColumn="0" w:noHBand="0" w:noVBand="1"/>
    </w:tblPr>
    <w:tblGrid>
      <w:gridCol w:w="9557"/>
      <w:gridCol w:w="195"/>
    </w:tblGrid>
    <w:tr w:rsidR="00712C3B">
      <w:tc>
        <w:tcPr>
          <w:tcW w:w="4900" w:type="pct"/>
          <w:tcBorders>
            <w:top w:val="nil"/>
            <w:left w:val="nil"/>
            <w:bottom w:val="nil"/>
            <w:right w:val="nil"/>
          </w:tcBorders>
          <w:tcMar>
            <w:top w:w="0" w:type="dxa"/>
            <w:left w:w="0" w:type="dxa"/>
            <w:bottom w:w="0" w:type="dxa"/>
            <w:right w:w="0" w:type="dxa"/>
          </w:tcMar>
          <w:vAlign w:val="bottom"/>
        </w:tcPr>
        <w:p w:rsidR="00712C3B" w:rsidRDefault="00712C3B">
          <w:pPr>
            <w:widowControl/>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712C3B" w:rsidRDefault="00712C3B">
          <w:pPr>
            <w:widowControl/>
            <w:rPr>
              <w:sz w:val="14"/>
              <w:szCs w:val="14"/>
            </w:rPr>
          </w:pPr>
        </w:p>
      </w:tc>
    </w:tr>
  </w:tbl>
  <w:p w:rsidR="00712C3B" w:rsidRDefault="00712C3B">
    <w:pPr>
      <w:widowControl/>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C4F98" w:rsidRDefault="004C4F98">
      <w:pPr>
        <w:spacing w:line="240" w:lineRule="auto"/>
      </w:pPr>
      <w:r>
        <w:separator/>
      </w:r>
    </w:p>
  </w:footnote>
  <w:footnote w:type="continuationSeparator" w:id="0">
    <w:p w:rsidR="004C4F98" w:rsidRDefault="004C4F9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12C3B" w:rsidRDefault="00000000">
    <w:pPr>
      <w:widowControl/>
    </w:pPr>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simplePos x="0" y="0"/>
          <wp:positionH relativeFrom="page">
            <wp:posOffset>5039995</wp:posOffset>
          </wp:positionH>
          <wp:positionV relativeFrom="page">
            <wp:posOffset>539750</wp:posOffset>
          </wp:positionV>
          <wp:extent cx="1871980" cy="52578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71980" cy="52578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12C3B" w:rsidRDefault="00000000">
    <w:pPr>
      <w:widowControl/>
    </w:pPr>
    <w:r>
      <w:rPr>
        <w:noProof/>
      </w:rPr>
      <w:drawing>
        <wp:anchor distT="0" distB="0" distL="114300" distR="114300" simplePos="0" relativeHeight="251658240" behindDoc="0" locked="0" layoutInCell="0" allowOverlap="0">
          <wp:simplePos x="0" y="0"/>
          <wp:positionH relativeFrom="page">
            <wp:posOffset>5039995</wp:posOffset>
          </wp:positionH>
          <wp:positionV relativeFrom="page">
            <wp:posOffset>539750</wp:posOffset>
          </wp:positionV>
          <wp:extent cx="1871980" cy="52578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71980" cy="525780"/>
                  </a:xfrm>
                  <a:prstGeom prst="rect">
                    <a:avLst/>
                  </a:prstGeom>
                  <a:noFill/>
                  <a:ln>
                    <a:noFill/>
                  </a:ln>
                </pic:spPr>
              </pic:pic>
            </a:graphicData>
          </a:graphic>
        </wp:anchor>
      </w:drawing>
    </w:r>
    <w:r>
      <w:rPr>
        <w:b/>
        <w:bCs/>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6"/>
  <w:proofState w:spelling="clean" w:grammar="clean"/>
  <w:defaultTabStop w:val="720"/>
  <w:hyphenationZone w:val="425"/>
  <w:characterSpacingControl w:val="compressPunctuation"/>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2C3B"/>
    <w:rsid w:val="004C4F98"/>
    <w:rsid w:val="0067377E"/>
    <w:rsid w:val="00712C3B"/>
    <w:rsid w:val="0089108E"/>
    <w:rsid w:val="00FA64F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649D5180"/>
  <w15:docId w15:val="{D66B833E-35D8-0144-B0E2-61488C0A9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widowControl w:val="0"/>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rPr>
      <w:rFonts w:ascii="Arial" w:hAnsi="Arial"/>
    </w:rPr>
  </w:style>
  <w:style w:type="character" w:styleId="Hyperlink">
    <w:name w:val="Hyperlink"/>
    <w:rPr>
      <w:rFonts w:ascii="Arial" w:hAnsi="Arial"/>
      <w:color w:val="0000FF"/>
      <w:u w:val="single"/>
    </w:rPr>
  </w:style>
  <w:style w:type="table" w:styleId="TabelleEinfach1">
    <w:name w:val="Table Simple 1"/>
    <w:basedOn w:val="NormaleTabelle"/>
    <w:pPr>
      <w:widowControl w:val="0"/>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hyperlink" Target="https://www.elco.de" TargetMode="External"/><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1336</Words>
  <Characters>8417</Characters>
  <Application>Microsoft Office Word</Application>
  <DocSecurity>0</DocSecurity>
  <Lines>70</Lines>
  <Paragraphs>19</Paragraphs>
  <ScaleCrop>false</ScaleCrop>
  <Company/>
  <LinksUpToDate>false</LinksUpToDate>
  <CharactersWithSpaces>9734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Bettina Wassermann</cp:lastModifiedBy>
  <cp:revision>3</cp:revision>
  <dcterms:created xsi:type="dcterms:W3CDTF">2024-07-17T07:18:00Z</dcterms:created>
  <dcterms:modified xsi:type="dcterms:W3CDTF">2024-07-17T07:19:00Z</dcterms:modified>
</cp:coreProperties>
</file>