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616E" w:rsidRDefault="00000000">
      <w:pPr>
        <w:rPr>
          <w:rFonts w:eastAsia="Arial"/>
          <w:sz w:val="8"/>
          <w:szCs w:val="8"/>
        </w:rPr>
      </w:pPr>
      <w:r>
        <w:rPr>
          <w:b/>
          <w:bCs/>
          <w:sz w:val="32"/>
          <w:szCs w:val="32"/>
        </w:rPr>
        <w:t xml:space="preserve">MHZ </w:t>
      </w:r>
      <w:proofErr w:type="spellStart"/>
      <w:r>
        <w:rPr>
          <w:b/>
          <w:bCs/>
          <w:sz w:val="32"/>
          <w:szCs w:val="32"/>
        </w:rPr>
        <w:t>zip</w:t>
      </w:r>
      <w:proofErr w:type="spellEnd"/>
      <w:r>
        <w:rPr>
          <w:b/>
          <w:bCs/>
          <w:sz w:val="32"/>
          <w:szCs w:val="32"/>
        </w:rPr>
        <w:t xml:space="preserve"> 6: geprüfte Ballwurfsicherheit für Innenanlagen</w:t>
      </w:r>
      <w:r>
        <w:rPr>
          <w:b/>
          <w:bCs/>
          <w:sz w:val="32"/>
          <w:szCs w:val="32"/>
        </w:rPr>
        <w:br/>
      </w:r>
      <w:r>
        <w:rPr>
          <w:rFonts w:eastAsia="Arial"/>
        </w:rPr>
        <w:t xml:space="preserve">Universität Stuttgart bestätigt Ballwurfsicherheit der Senkrechtmarkise </w:t>
      </w:r>
      <w:proofErr w:type="spellStart"/>
      <w:r>
        <w:rPr>
          <w:rFonts w:eastAsia="Arial"/>
        </w:rPr>
        <w:t>zip</w:t>
      </w:r>
      <w:proofErr w:type="spellEnd"/>
      <w:r>
        <w:rPr>
          <w:rFonts w:eastAsia="Arial"/>
        </w:rPr>
        <w:t xml:space="preserve"> 6</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F0616E">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F0616E" w:rsidRDefault="00000000">
            <w:pPr>
              <w:rPr>
                <w:sz w:val="18"/>
                <w:szCs w:val="18"/>
              </w:rPr>
            </w:pPr>
            <w:r>
              <w:rPr>
                <w:noProof/>
                <w:sz w:val="18"/>
                <w:szCs w:val="18"/>
              </w:rPr>
              <w:drawing>
                <wp:inline distT="0" distB="0" distL="0" distR="0">
                  <wp:extent cx="4266861" cy="2844800"/>
                  <wp:effectExtent l="0" t="0" r="63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6"/>
                          <a:srcRect/>
                          <a:stretch>
                            <a:fillRect/>
                          </a:stretch>
                        </pic:blipFill>
                        <pic:spPr>
                          <a:xfrm>
                            <a:off x="0" y="0"/>
                            <a:ext cx="4270028" cy="2846912"/>
                          </a:xfrm>
                          <a:prstGeom prst="rect">
                            <a:avLst/>
                          </a:prstGeom>
                        </pic:spPr>
                      </pic:pic>
                    </a:graphicData>
                  </a:graphic>
                </wp:inline>
              </w:drawing>
            </w:r>
          </w:p>
        </w:tc>
      </w:tr>
    </w:tbl>
    <w:p w:rsidR="00F0616E"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F0616E">
        <w:tc>
          <w:tcPr>
            <w:tcW w:w="3500" w:type="pct"/>
            <w:gridSpan w:val="2"/>
            <w:tcBorders>
              <w:top w:val="nil"/>
              <w:left w:val="nil"/>
              <w:bottom w:val="nil"/>
              <w:right w:val="nil"/>
            </w:tcBorders>
            <w:shd w:val="clear" w:color="auto" w:fill="auto"/>
            <w:tcMar>
              <w:top w:w="0" w:type="dxa"/>
              <w:left w:w="0" w:type="dxa"/>
              <w:bottom w:w="0" w:type="dxa"/>
              <w:right w:w="227" w:type="dxa"/>
            </w:tcMar>
          </w:tcPr>
          <w:p w:rsidR="00F0616E" w:rsidRDefault="00000000">
            <w:pPr>
              <w:spacing w:after="240"/>
              <w:rPr>
                <w:sz w:val="20"/>
                <w:szCs w:val="20"/>
              </w:rPr>
            </w:pPr>
            <w:r>
              <w:rPr>
                <w:i/>
                <w:iCs/>
                <w:sz w:val="20"/>
                <w:szCs w:val="20"/>
              </w:rPr>
              <w:t xml:space="preserve">Die Materialprüfungsanstalt der Universität Stuttgart bestätigt die Senkrechtmarkise </w:t>
            </w:r>
            <w:proofErr w:type="spellStart"/>
            <w:r>
              <w:rPr>
                <w:i/>
                <w:iCs/>
                <w:sz w:val="20"/>
                <w:szCs w:val="20"/>
              </w:rPr>
              <w:t>zip</w:t>
            </w:r>
            <w:proofErr w:type="spellEnd"/>
            <w:r>
              <w:rPr>
                <w:i/>
                <w:iCs/>
                <w:sz w:val="20"/>
                <w:szCs w:val="20"/>
              </w:rPr>
              <w:t xml:space="preserve"> 6 (Modell 48-1207) von MHZ als ballwurfsichere Variante in Klasse W2 (nach DIN 18032-3:2018-11) für Sporthallen.</w:t>
            </w:r>
          </w:p>
          <w:p w:rsidR="005868F4" w:rsidRDefault="00000000">
            <w:pPr>
              <w:spacing w:after="240"/>
              <w:rPr>
                <w:sz w:val="20"/>
                <w:szCs w:val="20"/>
              </w:rPr>
            </w:pPr>
            <w:r>
              <w:rPr>
                <w:sz w:val="20"/>
                <w:szCs w:val="20"/>
              </w:rPr>
              <w:t xml:space="preserve">Die </w:t>
            </w:r>
            <w:proofErr w:type="spellStart"/>
            <w:r>
              <w:rPr>
                <w:sz w:val="20"/>
                <w:szCs w:val="20"/>
              </w:rPr>
              <w:t>zip</w:t>
            </w:r>
            <w:proofErr w:type="spellEnd"/>
            <w:r>
              <w:rPr>
                <w:sz w:val="20"/>
                <w:szCs w:val="20"/>
              </w:rPr>
              <w:t xml:space="preserve"> 6 wurde im Prüflabor der Materialprüfungsanstalt der Universität Stuttgart in unterschiedlichen Maßen bis zu 3,60 m Breite und 3,30 m Höhe für den Einsatz in Sport- und Mehrzweckhallen getestet. Zur Prüfung wurden Hand- und Hockeybälle mit bis zu 30 Schüssen in unterschiedlichen Auftreffwinkeln und mit unterschiedlichen Aufprallgeschwindigkeiten bis zu 85 km/h eingesetzt. </w:t>
            </w:r>
          </w:p>
          <w:p w:rsidR="00F0616E" w:rsidRDefault="00000000">
            <w:pPr>
              <w:spacing w:after="240"/>
              <w:rPr>
                <w:sz w:val="20"/>
                <w:szCs w:val="20"/>
              </w:rPr>
            </w:pPr>
            <w:r>
              <w:rPr>
                <w:sz w:val="20"/>
                <w:szCs w:val="20"/>
              </w:rPr>
              <w:t xml:space="preserve">Die geprüften Einbauelemente überstanden die Beanspruchung ohne Schäden. Geprüft wurden das Vorbaukastensystem, die Führungsschienen, der Behang und der </w:t>
            </w:r>
            <w:proofErr w:type="spellStart"/>
            <w:r>
              <w:rPr>
                <w:sz w:val="20"/>
                <w:szCs w:val="20"/>
              </w:rPr>
              <w:t>Fallstab</w:t>
            </w:r>
            <w:proofErr w:type="spellEnd"/>
            <w:r>
              <w:rPr>
                <w:sz w:val="20"/>
                <w:szCs w:val="20"/>
              </w:rPr>
              <w:t>. Das Zertifikat ist unbegrenzt gültig.</w:t>
            </w:r>
          </w:p>
          <w:p w:rsidR="00F0616E" w:rsidRDefault="00000000">
            <w:pPr>
              <w:spacing w:after="240"/>
              <w:rPr>
                <w:sz w:val="20"/>
                <w:szCs w:val="20"/>
              </w:rPr>
            </w:pPr>
            <w:r>
              <w:rPr>
                <w:b/>
                <w:bCs/>
                <w:sz w:val="20"/>
                <w:szCs w:val="20"/>
              </w:rPr>
              <w:t>Kompakte Bauweise für große Formate</w:t>
            </w:r>
          </w:p>
          <w:p w:rsidR="00F0616E" w:rsidRDefault="00000000">
            <w:pPr>
              <w:spacing w:after="240"/>
              <w:rPr>
                <w:sz w:val="20"/>
                <w:szCs w:val="20"/>
              </w:rPr>
            </w:pPr>
            <w:r>
              <w:rPr>
                <w:sz w:val="20"/>
                <w:szCs w:val="20"/>
              </w:rPr>
              <w:t xml:space="preserve">Neben der geprüften Ballwurfsicherheit zeichnet sich die </w:t>
            </w:r>
            <w:proofErr w:type="spellStart"/>
            <w:r>
              <w:rPr>
                <w:sz w:val="20"/>
                <w:szCs w:val="20"/>
              </w:rPr>
              <w:t>zip</w:t>
            </w:r>
            <w:proofErr w:type="spellEnd"/>
            <w:r>
              <w:rPr>
                <w:sz w:val="20"/>
                <w:szCs w:val="20"/>
              </w:rPr>
              <w:t xml:space="preserve"> 6 durch ihre besonderen Maße aus: Fenster mit maximal 6 Metern Breite und 3,50 Metern Höhe werden optimal beschattet. Und </w:t>
            </w:r>
            <w:proofErr w:type="gramStart"/>
            <w:r>
              <w:rPr>
                <w:sz w:val="20"/>
                <w:szCs w:val="20"/>
              </w:rPr>
              <w:t>das</w:t>
            </w:r>
            <w:proofErr w:type="gramEnd"/>
            <w:r>
              <w:rPr>
                <w:sz w:val="20"/>
                <w:szCs w:val="20"/>
              </w:rPr>
              <w:t xml:space="preserve"> bei einer Kassettengröße von lediglich 110 Millimetern. Die schlanken Kassetten ermöglichen bei unterschiedlich breiten Anlagen ein einheitliches </w:t>
            </w:r>
            <w:r>
              <w:rPr>
                <w:sz w:val="20"/>
                <w:szCs w:val="20"/>
              </w:rPr>
              <w:lastRenderedPageBreak/>
              <w:t>Erscheinungsbild. Die Senkrechtmarkise eignet sich besonders für große Fensterfronten und damit auch für den Einsatz in Sporthallen.</w:t>
            </w:r>
          </w:p>
          <w:p w:rsidR="00F0616E" w:rsidRDefault="00000000">
            <w:pPr>
              <w:rPr>
                <w:sz w:val="20"/>
                <w:szCs w:val="20"/>
              </w:rPr>
            </w:pPr>
            <w:r>
              <w:rPr>
                <w:i/>
                <w:iCs/>
                <w:sz w:val="20"/>
                <w:szCs w:val="20"/>
              </w:rPr>
              <w:t>Leinfelden-Echterdingen, September 2026</w:t>
            </w:r>
            <w:r>
              <w:rPr>
                <w:sz w:val="20"/>
                <w:szCs w:val="20"/>
              </w:rPr>
              <w:br/>
            </w:r>
            <w:r>
              <w:rPr>
                <w:i/>
                <w:iCs/>
                <w:sz w:val="20"/>
                <w:szCs w:val="20"/>
              </w:rPr>
              <w:t>Abdruck honorarfrei unter Angabe der Bildquelle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F0616E" w:rsidRDefault="00000000">
            <w:pPr>
              <w:spacing w:after="240"/>
              <w:rPr>
                <w:sz w:val="20"/>
                <w:szCs w:val="20"/>
              </w:rPr>
            </w:pPr>
            <w:r>
              <w:rPr>
                <w:b/>
                <w:bCs/>
                <w:sz w:val="20"/>
                <w:szCs w:val="20"/>
              </w:rPr>
              <w:lastRenderedPageBreak/>
              <w:t>Ihre Ansprechpartner</w:t>
            </w:r>
            <w:r>
              <w:rPr>
                <w:sz w:val="20"/>
                <w:szCs w:val="20"/>
              </w:rPr>
              <w:br/>
              <w:t>Rainer Häupl</w:t>
            </w:r>
            <w:r>
              <w:rPr>
                <w:sz w:val="20"/>
                <w:szCs w:val="20"/>
              </w:rPr>
              <w:br/>
              <w:t>bering*</w:t>
            </w:r>
            <w:proofErr w:type="spellStart"/>
            <w:r>
              <w:rPr>
                <w:sz w:val="20"/>
                <w:szCs w:val="20"/>
              </w:rPr>
              <w:t>kopal</w:t>
            </w:r>
            <w:proofErr w:type="spellEnd"/>
            <w:r>
              <w:rPr>
                <w:sz w:val="20"/>
                <w:szCs w:val="20"/>
              </w:rPr>
              <w:t xml:space="preserve"> GbR, </w:t>
            </w:r>
            <w:r>
              <w:rPr>
                <w:sz w:val="20"/>
                <w:szCs w:val="20"/>
              </w:rPr>
              <w:br/>
              <w:t>Büro für Kommunikation</w:t>
            </w:r>
            <w:r>
              <w:rPr>
                <w:sz w:val="20"/>
                <w:szCs w:val="20"/>
              </w:rPr>
              <w:br/>
              <w:t>T + 49 (0) 711 74 51 759-16</w:t>
            </w:r>
            <w:r>
              <w:rPr>
                <w:sz w:val="20"/>
                <w:szCs w:val="20"/>
              </w:rPr>
              <w:br/>
              <w:t>rainer.haeupl@bering-kopal.de</w:t>
            </w:r>
            <w:r>
              <w:rPr>
                <w:sz w:val="20"/>
                <w:szCs w:val="20"/>
              </w:rPr>
              <w:br/>
              <w:t>www.bering-kopal.de</w:t>
            </w:r>
          </w:p>
          <w:p w:rsidR="00F0616E" w:rsidRDefault="00000000">
            <w:pPr>
              <w:rPr>
                <w:sz w:val="20"/>
                <w:szCs w:val="20"/>
              </w:rPr>
            </w:pPr>
            <w:r>
              <w:rPr>
                <w:b/>
                <w:bCs/>
                <w:sz w:val="20"/>
                <w:szCs w:val="20"/>
              </w:rPr>
              <w:t>Unternehmenskontakt</w:t>
            </w:r>
            <w:r>
              <w:rPr>
                <w:sz w:val="20"/>
                <w:szCs w:val="20"/>
              </w:rPr>
              <w:br/>
              <w:t xml:space="preserve">MHZ Hachtel </w:t>
            </w:r>
            <w:r>
              <w:rPr>
                <w:sz w:val="20"/>
                <w:szCs w:val="20"/>
              </w:rPr>
              <w:br/>
              <w:t>GmbH &amp; Co. KG</w:t>
            </w:r>
            <w:r>
              <w:rPr>
                <w:sz w:val="20"/>
                <w:szCs w:val="20"/>
              </w:rPr>
              <w:br/>
              <w:t>A. Sommerhäuser</w:t>
            </w:r>
            <w:r>
              <w:rPr>
                <w:sz w:val="20"/>
                <w:szCs w:val="20"/>
              </w:rPr>
              <w:br/>
              <w:t>T +49 (0) 711 9751-1671</w:t>
            </w:r>
            <w:r>
              <w:rPr>
                <w:sz w:val="20"/>
                <w:szCs w:val="20"/>
              </w:rPr>
              <w:br/>
              <w:t>presse@mhz.de</w:t>
            </w:r>
            <w:r>
              <w:rPr>
                <w:sz w:val="20"/>
                <w:szCs w:val="20"/>
              </w:rPr>
              <w:br/>
              <w:t>www.mhz.de</w:t>
            </w:r>
            <w:r>
              <w:rPr>
                <w:sz w:val="20"/>
                <w:szCs w:val="20"/>
              </w:rPr>
              <w:br/>
            </w:r>
            <w:r>
              <w:rPr>
                <w:sz w:val="20"/>
                <w:szCs w:val="20"/>
              </w:rPr>
              <w:br/>
            </w:r>
          </w:p>
        </w:tc>
      </w:tr>
      <w:tr w:rsidR="00F0616E">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F0616E" w:rsidRDefault="00F0616E">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F0616E" w:rsidRDefault="00F0616E">
            <w:pPr>
              <w:rPr>
                <w:sz w:val="20"/>
                <w:szCs w:val="20"/>
              </w:rPr>
            </w:pPr>
          </w:p>
        </w:tc>
      </w:tr>
    </w:tbl>
    <w:p w:rsidR="00F0616E" w:rsidRDefault="00000000">
      <w:r>
        <w:br w:type="page"/>
      </w:r>
    </w:p>
    <w:p w:rsidR="00F0616E" w:rsidRDefault="00000000">
      <w:pPr>
        <w:spacing w:line="240" w:lineRule="auto"/>
        <w:rPr>
          <w:sz w:val="17"/>
          <w:szCs w:val="17"/>
        </w:rPr>
      </w:pPr>
      <w:r>
        <w:rPr>
          <w:b/>
          <w:bCs/>
          <w:sz w:val="17"/>
          <w:szCs w:val="17"/>
        </w:rPr>
        <w:lastRenderedPageBreak/>
        <w:t>1</w:t>
      </w:r>
      <w:r>
        <w:rPr>
          <w:sz w:val="17"/>
          <w:szCs w:val="17"/>
        </w:rPr>
        <w:t xml:space="preserve"> Die Senkrechtmarkise </w:t>
      </w:r>
      <w:proofErr w:type="spellStart"/>
      <w:r>
        <w:rPr>
          <w:sz w:val="17"/>
          <w:szCs w:val="17"/>
        </w:rPr>
        <w:t>zip</w:t>
      </w:r>
      <w:proofErr w:type="spellEnd"/>
      <w:r>
        <w:rPr>
          <w:sz w:val="17"/>
          <w:szCs w:val="17"/>
        </w:rPr>
        <w:t xml:space="preserve"> 6 von MHZ ist für den Einsatz in Sport- und Mehrzweckhallen ballwurfsicher geprüft. Foto: MHZ</w:t>
      </w:r>
      <w:r>
        <w:rPr>
          <w:sz w:val="17"/>
          <w:szCs w:val="17"/>
        </w:rPr>
        <w:br/>
      </w:r>
    </w:p>
    <w:p w:rsidR="00F0616E" w:rsidRDefault="00000000">
      <w:pPr>
        <w:spacing w:line="240" w:lineRule="auto"/>
        <w:rPr>
          <w:sz w:val="17"/>
          <w:szCs w:val="17"/>
        </w:rPr>
      </w:pPr>
      <w:r>
        <w:rPr>
          <w:b/>
          <w:bCs/>
          <w:sz w:val="17"/>
          <w:szCs w:val="17"/>
        </w:rPr>
        <w:t>2</w:t>
      </w:r>
      <w:r>
        <w:rPr>
          <w:sz w:val="17"/>
          <w:szCs w:val="17"/>
        </w:rPr>
        <w:t xml:space="preserve"> Bei der Prüfung der Ballwurfsicherheit wurde die </w:t>
      </w:r>
      <w:proofErr w:type="spellStart"/>
      <w:r>
        <w:rPr>
          <w:sz w:val="17"/>
          <w:szCs w:val="17"/>
        </w:rPr>
        <w:t>zip</w:t>
      </w:r>
      <w:proofErr w:type="spellEnd"/>
      <w:r>
        <w:rPr>
          <w:sz w:val="17"/>
          <w:szCs w:val="17"/>
        </w:rPr>
        <w:t xml:space="preserve"> 6 mit Bällen aus unterschiedlichen Auftreffwinkeln und mit Aufprallgeschwindigkeiten bis zu 85 km/h getestet. Foto: MHZ</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0616E">
        <w:tc>
          <w:tcPr>
            <w:tcW w:w="2444" w:type="pct"/>
            <w:tcBorders>
              <w:top w:val="nil"/>
              <w:left w:val="nil"/>
              <w:bottom w:val="nil"/>
              <w:right w:val="nil"/>
            </w:tcBorders>
            <w:shd w:val="clear" w:color="auto" w:fill="auto"/>
            <w:tcMar>
              <w:top w:w="0" w:type="dxa"/>
              <w:left w:w="0" w:type="dxa"/>
              <w:bottom w:w="0" w:type="dxa"/>
              <w:right w:w="0" w:type="dxa"/>
            </w:tcMar>
          </w:tcPr>
          <w:p w:rsidR="00F0616E"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F0616E" w:rsidRDefault="00000000">
            <w:pPr>
              <w:keepNext/>
              <w:keepLines/>
              <w:spacing w:line="240" w:lineRule="auto"/>
              <w:rPr>
                <w:sz w:val="14"/>
                <w:szCs w:val="14"/>
              </w:rPr>
            </w:pPr>
            <w:r>
              <w:rPr>
                <w:sz w:val="14"/>
                <w:szCs w:val="14"/>
              </w:rPr>
              <w:t>2.</w:t>
            </w:r>
          </w:p>
        </w:tc>
      </w:tr>
      <w:tr w:rsidR="00F0616E">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F0616E" w:rsidRDefault="00000000">
            <w:pPr>
              <w:keepNext/>
              <w:keepLines/>
              <w:spacing w:line="240" w:lineRule="auto"/>
              <w:rPr>
                <w:sz w:val="14"/>
                <w:szCs w:val="14"/>
              </w:rPr>
            </w:pPr>
            <w:r>
              <w:rPr>
                <w:noProof/>
                <w:sz w:val="14"/>
                <w:szCs w:val="14"/>
              </w:rPr>
              <w:drawing>
                <wp:inline distT="0" distB="0" distL="0" distR="0">
                  <wp:extent cx="302006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7"/>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F0616E" w:rsidRDefault="00000000">
            <w:pPr>
              <w:keepNext/>
              <w:keepLines/>
              <w:spacing w:line="240" w:lineRule="auto"/>
              <w:rPr>
                <w:sz w:val="14"/>
                <w:szCs w:val="14"/>
              </w:rPr>
            </w:pPr>
            <w:r>
              <w:rPr>
                <w:noProof/>
                <w:sz w:val="14"/>
                <w:szCs w:val="14"/>
              </w:rPr>
              <w:drawing>
                <wp:inline distT="0" distB="0" distL="0" distR="0">
                  <wp:extent cx="302006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8"/>
                          <a:srcRect/>
                          <a:stretch>
                            <a:fillRect/>
                          </a:stretch>
                        </pic:blipFill>
                        <pic:spPr>
                          <a:xfrm>
                            <a:off x="0" y="0"/>
                            <a:ext cx="3020060" cy="2014220"/>
                          </a:xfrm>
                          <a:prstGeom prst="rect">
                            <a:avLst/>
                          </a:prstGeom>
                        </pic:spPr>
                      </pic:pic>
                    </a:graphicData>
                  </a:graphic>
                </wp:inline>
              </w:drawing>
            </w:r>
          </w:p>
        </w:tc>
      </w:tr>
      <w:tr w:rsidR="00F0616E">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r>
      <w:tr w:rsidR="00F0616E">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r>
      <w:tr w:rsidR="00F0616E">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F0616E" w:rsidRDefault="00F0616E">
            <w:pPr>
              <w:keepNext/>
              <w:keepLines/>
              <w:spacing w:line="240" w:lineRule="auto"/>
              <w:rPr>
                <w:sz w:val="17"/>
                <w:szCs w:val="17"/>
              </w:rPr>
            </w:pPr>
          </w:p>
        </w:tc>
      </w:tr>
    </w:tbl>
    <w:p w:rsidR="00F0616E"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F0616E">
        <w:tc>
          <w:tcPr>
            <w:tcW w:w="3500" w:type="pct"/>
            <w:gridSpan w:val="2"/>
            <w:tcBorders>
              <w:top w:val="nil"/>
              <w:left w:val="nil"/>
              <w:bottom w:val="nil"/>
              <w:right w:val="nil"/>
            </w:tcBorders>
            <w:shd w:val="clear" w:color="auto" w:fill="auto"/>
            <w:tcMar>
              <w:top w:w="0" w:type="dxa"/>
              <w:left w:w="0" w:type="dxa"/>
              <w:bottom w:w="0" w:type="dxa"/>
              <w:right w:w="227" w:type="dxa"/>
            </w:tcMar>
          </w:tcPr>
          <w:p w:rsidR="00F0616E" w:rsidRDefault="00000000">
            <w:pPr>
              <w:spacing w:before="240" w:after="240"/>
              <w:rPr>
                <w:sz w:val="20"/>
                <w:szCs w:val="20"/>
              </w:rPr>
            </w:pPr>
            <w:r>
              <w:rPr>
                <w:b/>
                <w:bCs/>
                <w:sz w:val="20"/>
                <w:szCs w:val="20"/>
              </w:rPr>
              <w:lastRenderedPageBreak/>
              <w:t>Über MHZ</w:t>
            </w:r>
          </w:p>
          <w:p w:rsidR="00F0616E" w:rsidRDefault="00000000">
            <w:pPr>
              <w:spacing w:before="240" w:after="240"/>
              <w:rPr>
                <w:sz w:val="20"/>
                <w:szCs w:val="20"/>
              </w:rPr>
            </w:pPr>
            <w:r>
              <w:rPr>
                <w:sz w:val="20"/>
                <w:szCs w:val="20"/>
              </w:rPr>
              <w:t>Die MHZ Hachtel GmbH &amp; Co. KG steht seit über 95 Jahren für hochwertige Premiumlösungen im Bereich Sicht-, Sonnen- und Insektenschutz. Das in dritter Generation geführte Familienunternehmen mit Hauptsitz in Leinfelden-Echterdingen entwickelt und produziert maßgefertigte, innovative Systeme, die Funktionalität und Design vereinen – von Plissees und Rollos über Jalousien bis hin zu modernen außenliegenden Lösungen. Mit Fokus auf architektonische Integration, neueste Technik, energieeffiziente Konzepte, abwechslungsreiche Kollektionen und Digitaldrucktechnik bietet MHZ individuelle Produkte für den Wohn- und Objektbereich.</w:t>
            </w:r>
          </w:p>
          <w:p w:rsidR="00F0616E" w:rsidRDefault="00000000">
            <w:pPr>
              <w:spacing w:before="240" w:after="240"/>
              <w:rPr>
                <w:sz w:val="20"/>
                <w:szCs w:val="20"/>
              </w:rPr>
            </w:pPr>
            <w:r>
              <w:rPr>
                <w:sz w:val="20"/>
                <w:szCs w:val="20"/>
              </w:rPr>
              <w:t>Mit rund 1.200 Mitarbeitenden zählt MHZ zu den führenden Unternehmen der Sicht- und Sonnenschutzbranche in Deutschland und ist weltweit aktiv.</w:t>
            </w:r>
          </w:p>
          <w:p w:rsidR="00F0616E" w:rsidRDefault="00000000">
            <w:pPr>
              <w:spacing w:before="240" w:after="240"/>
              <w:rPr>
                <w:sz w:val="20"/>
                <w:szCs w:val="20"/>
              </w:rPr>
            </w:pPr>
            <w:hyperlink r:id="rId9" w:tgtFrame="_blank">
              <w:r>
                <w:rPr>
                  <w:rStyle w:val="Hyperlink"/>
                  <w:color w:val="000000"/>
                  <w:sz w:val="20"/>
                  <w:szCs w:val="20"/>
                </w:rPr>
                <w:t>www.mhz.de</w:t>
              </w:r>
            </w:hyperlink>
          </w:p>
          <w:p w:rsidR="00F0616E"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F0616E" w:rsidRDefault="00000000">
            <w:pPr>
              <w:rPr>
                <w:sz w:val="20"/>
                <w:szCs w:val="20"/>
              </w:rPr>
            </w:pPr>
            <w:r>
              <w:rPr>
                <w:sz w:val="20"/>
                <w:szCs w:val="20"/>
              </w:rPr>
              <w:br/>
            </w:r>
          </w:p>
        </w:tc>
      </w:tr>
      <w:tr w:rsidR="00F0616E">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F0616E" w:rsidRDefault="00F0616E">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F0616E" w:rsidRDefault="00F0616E">
            <w:pPr>
              <w:rPr>
                <w:sz w:val="20"/>
                <w:szCs w:val="20"/>
              </w:rPr>
            </w:pPr>
          </w:p>
        </w:tc>
      </w:tr>
    </w:tbl>
    <w:p w:rsidR="00F0616E" w:rsidRDefault="00F0616E">
      <w:pPr>
        <w:spacing w:line="240" w:lineRule="auto"/>
      </w:pPr>
    </w:p>
    <w:sectPr w:rsidR="00F0616E">
      <w:headerReference w:type="default" r:id="rId10"/>
      <w:footerReference w:type="default" r:id="rId11"/>
      <w:headerReference w:type="first" r:id="rId12"/>
      <w:footerReference w:type="first" r:id="rId13"/>
      <w:pgSz w:w="11906" w:h="16838"/>
      <w:pgMar w:top="2098" w:right="1020" w:bottom="113" w:left="1134" w:header="964"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202CF" w:rsidRDefault="00F202CF">
      <w:pPr>
        <w:spacing w:line="240" w:lineRule="auto"/>
      </w:pPr>
      <w:r>
        <w:separator/>
      </w:r>
    </w:p>
  </w:endnote>
  <w:endnote w:type="continuationSeparator" w:id="0">
    <w:p w:rsidR="00F202CF" w:rsidRDefault="00F20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F0616E">
      <w:tc>
        <w:tcPr>
          <w:tcW w:w="4900" w:type="pct"/>
          <w:tcBorders>
            <w:top w:val="nil"/>
            <w:left w:val="nil"/>
            <w:bottom w:val="nil"/>
            <w:right w:val="nil"/>
          </w:tcBorders>
          <w:shd w:val="clear" w:color="auto" w:fill="auto"/>
          <w:tcMar>
            <w:top w:w="0" w:type="dxa"/>
            <w:left w:w="0" w:type="dxa"/>
            <w:bottom w:w="0" w:type="dxa"/>
            <w:right w:w="0" w:type="dxa"/>
          </w:tcMar>
          <w:vAlign w:val="bottom"/>
        </w:tcPr>
        <w:p w:rsidR="00F0616E" w:rsidRDefault="00F202CF">
          <w:pPr>
            <w:rPr>
              <w:sz w:val="14"/>
              <w:szCs w:val="14"/>
            </w:rPr>
          </w:pPr>
          <w:r>
            <w:rPr>
              <w:noProof/>
              <w:sz w:val="14"/>
              <w:szCs w:val="14"/>
            </w:rPr>
            <w:pict>
              <v:rect id="3" o:spid="_x0000_i1026"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F0616E">
            <w:tc>
              <w:tcPr>
                <w:tcW w:w="1479" w:type="pct"/>
                <w:tcBorders>
                  <w:top w:val="nil"/>
                  <w:left w:val="nil"/>
                  <w:bottom w:val="nil"/>
                  <w:right w:val="nil"/>
                </w:tcBorders>
                <w:hideMark/>
              </w:tcPr>
              <w:p w:rsidR="00F0616E"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F0616E" w:rsidRDefault="00000000">
                <w:pPr>
                  <w:rPr>
                    <w:rFonts w:eastAsia="Arial"/>
                    <w:sz w:val="14"/>
                    <w:szCs w:val="14"/>
                  </w:rPr>
                </w:pPr>
                <w:r>
                  <w:rPr>
                    <w:rFonts w:eastAsia="Arial"/>
                    <w:sz w:val="14"/>
                    <w:szCs w:val="14"/>
                  </w:rPr>
                  <w:t xml:space="preserve">Geschäftsführer: Marc Horn, Andreas </w:t>
                </w:r>
                <w:proofErr w:type="spellStart"/>
                <w:r>
                  <w:rPr>
                    <w:rFonts w:eastAsia="Arial"/>
                    <w:sz w:val="14"/>
                    <w:szCs w:val="14"/>
                  </w:rPr>
                  <w:t>Kopetschny</w:t>
                </w:r>
                <w:proofErr w:type="spellEnd"/>
              </w:p>
            </w:tc>
          </w:tr>
        </w:tbl>
        <w:p w:rsidR="00F0616E"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F0616E" w:rsidRDefault="00F0616E">
          <w:pPr>
            <w:rPr>
              <w:sz w:val="14"/>
              <w:szCs w:val="14"/>
            </w:rPr>
          </w:pPr>
        </w:p>
      </w:tc>
    </w:tr>
  </w:tbl>
  <w:p w:rsidR="00F0616E" w:rsidRDefault="00F0616E">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F0616E">
      <w:tc>
        <w:tcPr>
          <w:tcW w:w="4900" w:type="pct"/>
          <w:tcBorders>
            <w:top w:val="nil"/>
            <w:left w:val="nil"/>
            <w:bottom w:val="nil"/>
            <w:right w:val="nil"/>
          </w:tcBorders>
          <w:shd w:val="clear" w:color="auto" w:fill="auto"/>
          <w:tcMar>
            <w:top w:w="0" w:type="dxa"/>
            <w:left w:w="0" w:type="dxa"/>
            <w:bottom w:w="0" w:type="dxa"/>
            <w:right w:w="0" w:type="dxa"/>
          </w:tcMar>
          <w:vAlign w:val="bottom"/>
        </w:tcPr>
        <w:p w:rsidR="00F0616E" w:rsidRDefault="00F202CF">
          <w:pPr>
            <w:rPr>
              <w:sz w:val="14"/>
              <w:szCs w:val="14"/>
            </w:rPr>
          </w:pPr>
          <w:r>
            <w:rPr>
              <w:noProof/>
              <w:sz w:val="14"/>
              <w:szCs w:val="14"/>
            </w:rPr>
            <w:pict>
              <v:rect id="2" o:spid="_x0000_i1025"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F0616E">
            <w:tc>
              <w:tcPr>
                <w:tcW w:w="1479" w:type="pct"/>
                <w:tcBorders>
                  <w:top w:val="nil"/>
                  <w:left w:val="nil"/>
                  <w:bottom w:val="nil"/>
                  <w:right w:val="nil"/>
                </w:tcBorders>
                <w:hideMark/>
              </w:tcPr>
              <w:p w:rsidR="00F0616E"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F0616E" w:rsidRDefault="00000000">
                <w:pPr>
                  <w:rPr>
                    <w:rFonts w:eastAsia="Arial"/>
                    <w:sz w:val="14"/>
                    <w:szCs w:val="14"/>
                  </w:rPr>
                </w:pPr>
                <w:r>
                  <w:rPr>
                    <w:rFonts w:eastAsia="Arial"/>
                    <w:sz w:val="14"/>
                    <w:szCs w:val="14"/>
                  </w:rPr>
                  <w:t xml:space="preserve">Geschäftsführer: Marc Horn, Andreas </w:t>
                </w:r>
                <w:proofErr w:type="spellStart"/>
                <w:r>
                  <w:rPr>
                    <w:rFonts w:eastAsia="Arial"/>
                    <w:sz w:val="14"/>
                    <w:szCs w:val="14"/>
                  </w:rPr>
                  <w:t>Kopetschny</w:t>
                </w:r>
                <w:proofErr w:type="spellEnd"/>
              </w:p>
            </w:tc>
          </w:tr>
        </w:tbl>
        <w:p w:rsidR="00F0616E"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F0616E" w:rsidRDefault="00F0616E">
          <w:pPr>
            <w:rPr>
              <w:sz w:val="14"/>
              <w:szCs w:val="14"/>
            </w:rPr>
          </w:pPr>
        </w:p>
      </w:tc>
    </w:tr>
  </w:tbl>
  <w:p w:rsidR="00F0616E" w:rsidRDefault="00F061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202CF" w:rsidRDefault="00F202CF">
      <w:pPr>
        <w:spacing w:line="240" w:lineRule="auto"/>
      </w:pPr>
      <w:r>
        <w:separator/>
      </w:r>
    </w:p>
  </w:footnote>
  <w:footnote w:type="continuationSeparator" w:id="0">
    <w:p w:rsidR="00F202CF" w:rsidRDefault="00F202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616E"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980" cy="4768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616E"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980" cy="476885"/>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16E"/>
    <w:rsid w:val="005868F4"/>
    <w:rsid w:val="00D65CB9"/>
    <w:rsid w:val="00F0616E"/>
    <w:rsid w:val="00F202CF"/>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51F5"/>
  <w15:docId w15:val="{FB5AB735-2D24-4841-8E34-0D33E0BF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hz.de/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409</Words>
  <Characters>2580</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3</cp:revision>
  <dcterms:created xsi:type="dcterms:W3CDTF">2026-08-20T12:28:00Z</dcterms:created>
  <dcterms:modified xsi:type="dcterms:W3CDTF">2026-08-20T12:28:00Z</dcterms:modified>
</cp:coreProperties>
</file>