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F1DB60" w14:textId="77777777" w:rsidR="008873B6" w:rsidRDefault="008873B6">
      <w:pPr>
        <w:rPr>
          <w:b/>
          <w:bCs/>
          <w:sz w:val="32"/>
          <w:szCs w:val="32"/>
        </w:rPr>
      </w:pPr>
    </w:p>
    <w:p w14:paraId="398EE868" w14:textId="77777777" w:rsidR="008873B6" w:rsidRDefault="008873B6">
      <w:pPr>
        <w:rPr>
          <w:b/>
          <w:bCs/>
          <w:sz w:val="32"/>
          <w:szCs w:val="32"/>
        </w:rPr>
      </w:pPr>
    </w:p>
    <w:p w14:paraId="1F119CE8" w14:textId="6B79C531" w:rsidR="00D943DE" w:rsidRDefault="002150ED">
      <w:pPr>
        <w:rPr>
          <w:b/>
          <w:bCs/>
          <w:sz w:val="32"/>
          <w:szCs w:val="32"/>
        </w:rPr>
      </w:pPr>
      <w:r>
        <w:rPr>
          <w:b/>
          <w:bCs/>
          <w:sz w:val="32"/>
          <w:szCs w:val="32"/>
        </w:rPr>
        <w:t>THE TOKYO TOILET Project fertiggestellt</w:t>
      </w:r>
    </w:p>
    <w:tbl>
      <w:tblPr>
        <w:tblStyle w:val="TabelleEinfach1"/>
        <w:tblW w:w="5000" w:type="pct"/>
        <w:tblLayout w:type="fixed"/>
        <w:tblCellMar>
          <w:left w:w="0" w:type="dxa"/>
          <w:right w:w="227" w:type="dxa"/>
        </w:tblCellMar>
        <w:tblLook w:val="04A0" w:firstRow="1" w:lastRow="0" w:firstColumn="1" w:lastColumn="0" w:noHBand="0" w:noVBand="1"/>
      </w:tblPr>
      <w:tblGrid>
        <w:gridCol w:w="3706"/>
        <w:gridCol w:w="3706"/>
        <w:gridCol w:w="2340"/>
      </w:tblGrid>
      <w:tr w:rsidR="00D943DE" w14:paraId="208B50CE" w14:textId="77777777">
        <w:tc>
          <w:tcPr>
            <w:tcW w:w="3800" w:type="pct"/>
            <w:gridSpan w:val="2"/>
            <w:tcBorders>
              <w:top w:val="nil"/>
              <w:left w:val="nil"/>
              <w:bottom w:val="nil"/>
              <w:right w:val="nil"/>
            </w:tcBorders>
            <w:shd w:val="clear" w:color="auto" w:fill="auto"/>
            <w:tcMar>
              <w:top w:w="0" w:type="dxa"/>
              <w:left w:w="0" w:type="dxa"/>
              <w:bottom w:w="0" w:type="dxa"/>
              <w:right w:w="227" w:type="dxa"/>
            </w:tcMar>
          </w:tcPr>
          <w:p w14:paraId="01BD3D63" w14:textId="77777777" w:rsidR="00D943DE" w:rsidRDefault="002150ED">
            <w:r>
              <w:rPr>
                <w:rFonts w:eastAsia="Arial"/>
              </w:rPr>
              <w:t>Im Rahmen des Stadterneuerungsprojekts THE TOKYO TOILET, ein Projekt der Nippon Foundation, wurden 17 öffentliche Toilettenhäuser des Tokioter Stadtbezirks Shibuya mit der Expertise von TOTO als Berater und Ausstatter der sanitären Einrichtungen fertiggestellt.</w:t>
            </w:r>
          </w:p>
        </w:tc>
        <w:tc>
          <w:tcPr>
            <w:tcW w:w="1200" w:type="pct"/>
            <w:tcBorders>
              <w:top w:val="nil"/>
              <w:left w:val="nil"/>
              <w:bottom w:val="nil"/>
              <w:right w:val="nil"/>
            </w:tcBorders>
            <w:shd w:val="clear" w:color="auto" w:fill="auto"/>
            <w:tcMar>
              <w:top w:w="0" w:type="dxa"/>
              <w:left w:w="0" w:type="dxa"/>
              <w:bottom w:w="0" w:type="dxa"/>
              <w:right w:w="227" w:type="dxa"/>
            </w:tcMar>
          </w:tcPr>
          <w:p w14:paraId="53E8AEEB" w14:textId="77777777" w:rsidR="00D943DE" w:rsidRDefault="00D943DE"/>
        </w:tc>
      </w:tr>
      <w:tr w:rsidR="00D943DE" w14:paraId="66A2E60A" w14:textId="77777777">
        <w:trPr>
          <w:gridAfter w:val="1"/>
          <w:wAfter w:w="1728" w:type="dxa"/>
        </w:trPr>
        <w:tc>
          <w:tcPr>
            <w:tcW w:w="2736" w:type="dxa"/>
            <w:tcBorders>
              <w:top w:val="nil"/>
              <w:left w:val="nil"/>
              <w:bottom w:val="nil"/>
              <w:right w:val="nil"/>
            </w:tcBorders>
            <w:shd w:val="clear" w:color="auto" w:fill="auto"/>
            <w:tcMar>
              <w:top w:w="0" w:type="dxa"/>
              <w:left w:w="0" w:type="dxa"/>
              <w:bottom w:w="0" w:type="dxa"/>
              <w:right w:w="227" w:type="dxa"/>
            </w:tcMar>
          </w:tcPr>
          <w:p w14:paraId="1BA7BABE" w14:textId="77777777" w:rsidR="00D943DE" w:rsidRDefault="00D943DE"/>
        </w:tc>
        <w:tc>
          <w:tcPr>
            <w:tcW w:w="2736" w:type="dxa"/>
            <w:tcBorders>
              <w:top w:val="nil"/>
              <w:left w:val="nil"/>
              <w:bottom w:val="nil"/>
              <w:right w:val="nil"/>
            </w:tcBorders>
            <w:shd w:val="clear" w:color="auto" w:fill="auto"/>
            <w:tcMar>
              <w:top w:w="0" w:type="dxa"/>
              <w:left w:w="0" w:type="dxa"/>
              <w:bottom w:w="0" w:type="dxa"/>
              <w:right w:w="227" w:type="dxa"/>
            </w:tcMar>
          </w:tcPr>
          <w:p w14:paraId="0CB3BE94" w14:textId="77777777" w:rsidR="00D943DE" w:rsidRDefault="00D943DE"/>
        </w:tc>
      </w:tr>
    </w:tbl>
    <w:p w14:paraId="12600945" w14:textId="77777777" w:rsidR="00D943DE" w:rsidRDefault="002150ED">
      <w:pPr>
        <w:rPr>
          <w:sz w:val="8"/>
          <w:szCs w:val="8"/>
        </w:rPr>
      </w:pPr>
      <w:r>
        <w:rPr>
          <w:sz w:val="8"/>
          <w:szCs w:val="8"/>
        </w:rPr>
        <w:br/>
      </w:r>
    </w:p>
    <w:tbl>
      <w:tblPr>
        <w:tblStyle w:val="TabelleEinfach1"/>
        <w:tblW w:w="5000" w:type="pct"/>
        <w:jc w:val="center"/>
        <w:tblLayout w:type="fixed"/>
        <w:tblCellMar>
          <w:left w:w="0" w:type="dxa"/>
          <w:right w:w="227" w:type="dxa"/>
        </w:tblCellMar>
        <w:tblLook w:val="04A0" w:firstRow="1" w:lastRow="0" w:firstColumn="1" w:lastColumn="0" w:noHBand="0" w:noVBand="1"/>
      </w:tblPr>
      <w:tblGrid>
        <w:gridCol w:w="9752"/>
      </w:tblGrid>
      <w:tr w:rsidR="00D943DE" w14:paraId="67592C91" w14:textId="77777777">
        <w:trPr>
          <w:jc w:val="center"/>
        </w:trPr>
        <w:tc>
          <w:tcPr>
            <w:tcW w:w="5000" w:type="pct"/>
            <w:tcBorders>
              <w:top w:val="nil"/>
              <w:left w:val="nil"/>
              <w:bottom w:val="nil"/>
              <w:right w:val="nil"/>
            </w:tcBorders>
            <w:shd w:val="clear" w:color="auto" w:fill="auto"/>
            <w:tcMar>
              <w:top w:w="0" w:type="dxa"/>
              <w:left w:w="0" w:type="dxa"/>
              <w:bottom w:w="0" w:type="dxa"/>
              <w:right w:w="227" w:type="dxa"/>
            </w:tcMar>
          </w:tcPr>
          <w:p w14:paraId="0950444E" w14:textId="77777777" w:rsidR="00D943DE" w:rsidRDefault="002150ED">
            <w:pPr>
              <w:rPr>
                <w:sz w:val="18"/>
                <w:szCs w:val="18"/>
              </w:rPr>
            </w:pPr>
            <w:r>
              <w:rPr>
                <w:noProof/>
                <w:sz w:val="18"/>
                <w:szCs w:val="18"/>
              </w:rPr>
              <w:drawing>
                <wp:inline distT="0" distB="0" distL="0" distR="0" wp14:anchorId="5020134E" wp14:editId="79917764">
                  <wp:extent cx="3995420" cy="2663825"/>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dpi="0">
                          <a:blip r:embed="rId6"/>
                          <a:srcRect/>
                          <a:stretch>
                            <a:fillRect/>
                          </a:stretch>
                        </pic:blipFill>
                        <pic:spPr>
                          <a:xfrm>
                            <a:off x="0" y="0"/>
                            <a:ext cx="3995420" cy="2663825"/>
                          </a:xfrm>
                          <a:prstGeom prst="rect">
                            <a:avLst/>
                          </a:prstGeom>
                        </pic:spPr>
                      </pic:pic>
                    </a:graphicData>
                  </a:graphic>
                </wp:inline>
              </w:drawing>
            </w:r>
          </w:p>
        </w:tc>
      </w:tr>
    </w:tbl>
    <w:p w14:paraId="630F9469" w14:textId="77777777" w:rsidR="00D943DE" w:rsidRDefault="002150ED">
      <w:pPr>
        <w:rPr>
          <w:sz w:val="8"/>
          <w:szCs w:val="8"/>
        </w:rPr>
      </w:pPr>
      <w:r>
        <w:rPr>
          <w:sz w:val="8"/>
          <w:szCs w:val="8"/>
        </w:rPr>
        <w:br/>
      </w:r>
    </w:p>
    <w:tbl>
      <w:tblPr>
        <w:tblStyle w:val="TabelleEinfach1"/>
        <w:tblW w:w="5000" w:type="pct"/>
        <w:tblLayout w:type="fixed"/>
        <w:tblCellMar>
          <w:left w:w="0" w:type="dxa"/>
          <w:right w:w="227" w:type="dxa"/>
        </w:tblCellMar>
        <w:tblLook w:val="04A0" w:firstRow="1" w:lastRow="0" w:firstColumn="1" w:lastColumn="0" w:noHBand="0" w:noVBand="1"/>
      </w:tblPr>
      <w:tblGrid>
        <w:gridCol w:w="7412"/>
        <w:gridCol w:w="2340"/>
      </w:tblGrid>
      <w:tr w:rsidR="00D943DE" w14:paraId="34C4F657" w14:textId="77777777">
        <w:tc>
          <w:tcPr>
            <w:tcW w:w="3800" w:type="pct"/>
            <w:tcBorders>
              <w:top w:val="nil"/>
              <w:left w:val="nil"/>
              <w:bottom w:val="nil"/>
              <w:right w:val="nil"/>
            </w:tcBorders>
            <w:shd w:val="clear" w:color="auto" w:fill="auto"/>
            <w:tcMar>
              <w:top w:w="0" w:type="dxa"/>
              <w:left w:w="0" w:type="dxa"/>
              <w:bottom w:w="0" w:type="dxa"/>
              <w:right w:w="227" w:type="dxa"/>
            </w:tcMar>
          </w:tcPr>
          <w:p w14:paraId="67BD62E6" w14:textId="77777777" w:rsidR="00D943DE" w:rsidRDefault="002150ED">
            <w:pPr>
              <w:spacing w:after="240"/>
              <w:rPr>
                <w:sz w:val="20"/>
                <w:szCs w:val="20"/>
              </w:rPr>
            </w:pPr>
            <w:r>
              <w:rPr>
                <w:i/>
                <w:sz w:val="20"/>
                <w:szCs w:val="20"/>
              </w:rPr>
              <w:t>Japan ist bekannt als das sauberste Land der Welt. Das manifestiert sich sogar in den öffentlichen Toiletten des Landes. Daher wundert es nicht, dass sich weltbekannte Stararchitekten wie die Pritzker-Preisträger Tadao Ando, Toyo Ito, Shigeru Ban und 13 weitere Architektinnen und Designer auf Einladung der Nippon Foundation des Themas der öffentlichen Toiletten angenommen haben. Das Projekt hat weltweit für Beachtung gesorgt, denn jedes der entstandenen Toilettenhäuser ist ein Kunstwerk. Ziel war es, das Konzept der öffentlichen Toiletten ganz neu zu denken und Orte zu schaffen, die zu jeder Tages- und Nachtzeit sicher und sauber für alle Menschen, unabhängig von Alter, Geschlecht oder körperlicher Beeinträchtigung, genutzt und erlebt werden können.</w:t>
            </w:r>
          </w:p>
          <w:p w14:paraId="6787FAD4" w14:textId="77777777" w:rsidR="00D943DE" w:rsidRDefault="002150ED">
            <w:pPr>
              <w:spacing w:after="240"/>
              <w:rPr>
                <w:sz w:val="20"/>
                <w:szCs w:val="20"/>
              </w:rPr>
            </w:pPr>
            <w:r>
              <w:rPr>
                <w:sz w:val="20"/>
                <w:szCs w:val="20"/>
              </w:rPr>
              <w:t xml:space="preserve">Den Menschen ein angenehmes Toilettenerlebnis zu ermöglichen und somit auch der berühmten Omotenashi-Kultur der zuvorkommenden Gastfreundschaft Genüge zu tun, war das erklärte Ziel der Nippon Foundation und aller Beteiligten. Dabei geht es darum, eine Atmosphäre zu schaffen, in der sich der Gast wohl fühlt und ein Höchstmaß an Sauberkeit herrscht. Die Sanitäranlagen sollten entsprechend einladend, sicher, hygienisch und einfach zu nutzen sein. Darüber hinaus spielte vor allem die Inklusion eine große Rolle. Und so sind die nun fertiggestellten öffentlichen Toiletten allesamt auch Geschlechter übergreifend und barrierefrei zugänglich für Menschen mit körperlichen und visuellen Einschränkungen. Sie bieten zudem eine variierende Auswahl an Ausstattungen, </w:t>
            </w:r>
            <w:r>
              <w:rPr>
                <w:sz w:val="20"/>
                <w:szCs w:val="20"/>
              </w:rPr>
              <w:lastRenderedPageBreak/>
              <w:t>die speziell für die Bedürfnisse älterer, schwangerer oder Menschen mit kleinen Kindern ausgelegt sind. Die Toilettenhäuser sind neben ihrer durchdachten Funktionalität jedes für sich ein herausragendes Designexempel:  einzigartig, individuell und einladend.</w:t>
            </w:r>
          </w:p>
          <w:p w14:paraId="66AE78B8" w14:textId="77777777" w:rsidR="00D943DE" w:rsidRDefault="002150ED">
            <w:pPr>
              <w:spacing w:after="240"/>
              <w:rPr>
                <w:sz w:val="20"/>
                <w:szCs w:val="20"/>
              </w:rPr>
            </w:pPr>
            <w:r>
              <w:rPr>
                <w:sz w:val="20"/>
                <w:szCs w:val="20"/>
              </w:rPr>
              <w:t>Das THE TOKYO TOILET Project findet nun seinen Abschluss mit den vier zuletzt fertiggestellten Sanitäranlagen von Junko Kobayashi, Marc Newson, Sou Fujimoto und Miles Pennington.  </w:t>
            </w:r>
          </w:p>
          <w:p w14:paraId="4E5A25A7" w14:textId="77777777" w:rsidR="00D943DE" w:rsidRDefault="002150ED">
            <w:pPr>
              <w:spacing w:after="240"/>
              <w:rPr>
                <w:sz w:val="20"/>
                <w:szCs w:val="20"/>
              </w:rPr>
            </w:pPr>
            <w:r>
              <w:rPr>
                <w:b/>
                <w:sz w:val="20"/>
                <w:szCs w:val="20"/>
              </w:rPr>
              <w:t>Marc Newson – solide, heimelig und hygienisch</w:t>
            </w:r>
          </w:p>
          <w:p w14:paraId="73634657" w14:textId="77777777" w:rsidR="00D943DE" w:rsidRDefault="002150ED">
            <w:pPr>
              <w:spacing w:after="240"/>
              <w:rPr>
                <w:sz w:val="20"/>
                <w:szCs w:val="20"/>
              </w:rPr>
            </w:pPr>
            <w:r>
              <w:rPr>
                <w:sz w:val="20"/>
                <w:szCs w:val="20"/>
              </w:rPr>
              <w:t>Direkt unter der vielbefahrenen Stadtautobahn Nr. 4, neben einem massiven Brückenpfeiler, steht das von Marc Newson entworfene Toilettenhaus. Der renommierte Designer, der unter anderem für Kunden wie Louis Vuitton und Nike arbeitet, nimmt mit der geschwungenen Dachform des Gebäudes Bezug auf die traditionelle japanische Architektur, die oft in Schreinen, Tempeln oder ländlichen Gegenden gefunden wird. Sie soll, zusammen mit der soliden, kompakten Form des Gebäudes, Ruhe und Behaglichkeit bringen in die hektische und hypermoderne Umgebung der geschäftigen Millionenmetropole. Durch die Sichtbetonfassade und durch die mit der Zeit entstehenden Patina des Kupferdaches verschmilzt das Toilettenhaus immer mehr mit der Umgebung und wird ein Teil von dieser. Details wie die abgerundeten Ecken des Kubus und der Türöffnungen sowie insbesondere die warme Beleuchtung des Gebäudes unterhalb der Dachkante, wirken im Kontrast dazu harmonisch und behaglich. Um das Gefühl der Sauberkeit und Sicherheit zu unterstreichen, hat Marc Newson die kompletten Innenräume einfarbig in hellem Blaugrün und einer glatten, nahtlosen Oberfläche gestaltet. Die funktionelle Ausstattung umfasst neben dem WASHLET von TOTO unter anderem einen Kindersitz und spezielle Infrastruktur zur Stomaversorgung. </w:t>
            </w:r>
          </w:p>
          <w:p w14:paraId="428E6D2B" w14:textId="77777777" w:rsidR="00D943DE" w:rsidRDefault="002150ED">
            <w:pPr>
              <w:spacing w:after="240"/>
              <w:rPr>
                <w:sz w:val="20"/>
                <w:szCs w:val="20"/>
              </w:rPr>
            </w:pPr>
            <w:r>
              <w:rPr>
                <w:b/>
                <w:sz w:val="20"/>
                <w:szCs w:val="20"/>
              </w:rPr>
              <w:t>Miles Pennington / DLX Design Lab – mehr als nur eine Toilette</w:t>
            </w:r>
          </w:p>
          <w:p w14:paraId="6CFEE44F" w14:textId="7BF44288" w:rsidR="00D943DE" w:rsidRDefault="002150ED">
            <w:pPr>
              <w:spacing w:after="240"/>
              <w:rPr>
                <w:sz w:val="20"/>
                <w:szCs w:val="20"/>
              </w:rPr>
            </w:pPr>
            <w:r>
              <w:rPr>
                <w:sz w:val="20"/>
                <w:szCs w:val="20"/>
              </w:rPr>
              <w:t>An einer Kreuzung dreier Straßen, in markanter Lage, hat der Designprofessor Miles Pennington zusammen mit DLX Design Lab der Universität Tokio die öffentliche Toilette als solche komplett neu interpretiert. Die Nutzung als Toilette tritt dezent in den Hintergrund und überlässt die große Bühne einem Multifunktionsraum, nutzbar etwa für Ausstellungen, als Pop-up Kiosk, Infozentrum oder Outdoorkino. In den Boden versenkbare Poller können dort mit Holzbalkon zusammengeschalten werden und dienen als flexibel gestaltbare Sitzgelegenheit. Pennington möchte durch die zusätzliche Belebung den Trend umkehren, dass öffentliche Toiletten wenig genutzt werden und dadurch in Vergessenheit geraten.</w:t>
            </w:r>
          </w:p>
          <w:p w14:paraId="098994CD" w14:textId="77777777" w:rsidR="00D943DE" w:rsidRDefault="002150ED">
            <w:pPr>
              <w:spacing w:after="240"/>
              <w:rPr>
                <w:sz w:val="20"/>
                <w:szCs w:val="20"/>
              </w:rPr>
            </w:pPr>
            <w:r>
              <w:rPr>
                <w:sz w:val="20"/>
                <w:szCs w:val="20"/>
              </w:rPr>
              <w:t>Die einzelnen Toilettenräume gliedern sich an drei Seiten um den zum Teil überdachten öffentlichen Außenraum des ganz in Weiß gehaltenen Gebäudes. Es gibt zwei für jeden Menschen zugängliche barrierefreie Universalkabinen mit TOTO WASHLETS, Wickeltisch und Kindersitz sowie eine weitere Kabine mit Urinalen.</w:t>
            </w:r>
          </w:p>
          <w:p w14:paraId="7E1E37BD" w14:textId="77777777" w:rsidR="00D943DE" w:rsidRDefault="002150ED">
            <w:pPr>
              <w:spacing w:after="240"/>
              <w:rPr>
                <w:sz w:val="20"/>
                <w:szCs w:val="20"/>
              </w:rPr>
            </w:pPr>
            <w:r>
              <w:rPr>
                <w:b/>
                <w:sz w:val="20"/>
                <w:szCs w:val="20"/>
              </w:rPr>
              <w:lastRenderedPageBreak/>
              <w:t xml:space="preserve">Junko Kobayashi, Gondola Architects – Stahlzylinder mit gelbem Himmelsschirm </w:t>
            </w:r>
          </w:p>
          <w:p w14:paraId="684D417F" w14:textId="77777777" w:rsidR="00D943DE" w:rsidRDefault="002150ED">
            <w:pPr>
              <w:spacing w:after="240"/>
              <w:rPr>
                <w:sz w:val="20"/>
                <w:szCs w:val="20"/>
              </w:rPr>
            </w:pPr>
            <w:r>
              <w:rPr>
                <w:sz w:val="20"/>
                <w:szCs w:val="20"/>
              </w:rPr>
              <w:t>Eine echte Koryphäe auf dem Gebiet der Gestaltung von Toiletten ist die Architektin Junko Kobayashi. Als Präsidentin der Japanischen Toilettenvereinigung (JTA) und Autorin von Büchern wie „Die Toilette verändert sich“ liegt ihr sehr daran, das schlechte Image öffentlicher Sanitäranlagen ins Positive zu wandeln. So soll die sonnengelbe ovale Scheibe, die über den Stahlblechzylindern mit ihrer rostigen Patina schwebt, das dunkle und gedrungene Gefühl unter den Hochbahnschienen der Sasazuka Station aufheben zu einer himmelähnlichen Öffnung. Das gesamte Ensemble aus unterschiedlich hohen und dicken Stahlblechzylindern vergleicht Kobayashi mit einem „störrischen alten Mann, der immer über die Menschen wacht, und gleichzeitig eine lustige und unterhaltsame Atmosphäre schafft“. Dementsprechend verwundert es nicht, dass aus den runden Fensteröffnungen der Stahlwandungen die Umrisse niedlicher Häschen schauen.</w:t>
            </w:r>
          </w:p>
          <w:p w14:paraId="76D69E71" w14:textId="77777777" w:rsidR="00D943DE" w:rsidRDefault="002150ED">
            <w:pPr>
              <w:spacing w:after="240"/>
              <w:rPr>
                <w:sz w:val="20"/>
                <w:szCs w:val="20"/>
              </w:rPr>
            </w:pPr>
            <w:r>
              <w:rPr>
                <w:b/>
                <w:sz w:val="20"/>
                <w:szCs w:val="20"/>
              </w:rPr>
              <w:t>Sou Fujimoto – ein Brunnen in der Stadt</w:t>
            </w:r>
          </w:p>
          <w:p w14:paraId="2289582D" w14:textId="77777777" w:rsidR="00D943DE" w:rsidRDefault="002150ED">
            <w:pPr>
              <w:spacing w:after="240"/>
              <w:rPr>
                <w:sz w:val="20"/>
                <w:szCs w:val="20"/>
              </w:rPr>
            </w:pPr>
            <w:r>
              <w:rPr>
                <w:sz w:val="20"/>
                <w:szCs w:val="20"/>
              </w:rPr>
              <w:t>Einen öffentlichen Raum mit Zugang zu Wasser, einen Brunnen in der Stadt, hat der international tätige Architekt Sou Fujimoto entworfen. Das strahlend weiße, geschwungene Gebäude hat einen oval gefassten und dennoch offenen Innenhof mit Handwaschplätzen und Trinkwasserstellen in unterschiedlichen Höhen für Kinder, Erwachsene und Menschen im Rollstuhl. Hier kann man sich treffen und ins Gespräch kommen, auch wenn man die Toilette nicht nutzt. Es ist die neue Interpretation eines traditionellen Konzepts, das Fujimoto mit dem Treffpunkt rund um die Wasserstelle geschaffen hat, das über die eigentliche Funktion einer öffentlichen Sanitäranlage hinausgeht. Das Weiß der Innenräume und der Fassade steht dabei als Ausdruck für Hygiene und Sauberkeit, auch und gerade, wenn es um die Instandhaltung geht. So kümmert sich die Nippon Foundation zusammen mit TOTO als Berater um die kontinuierliche Verbesserung der Reinigungsmethoden für alle Sanitäranlagen des THE TOKYO TOILET Project, bevor die Wartung im Frühjahr 2024 an die Stadtverwaltung von Shibuya übertragen wird.</w:t>
            </w:r>
          </w:p>
          <w:p w14:paraId="0A088B65" w14:textId="77777777" w:rsidR="00D943DE" w:rsidRDefault="002150ED">
            <w:pPr>
              <w:spacing w:after="240"/>
              <w:rPr>
                <w:sz w:val="20"/>
                <w:szCs w:val="20"/>
              </w:rPr>
            </w:pPr>
            <w:r>
              <w:rPr>
                <w:b/>
                <w:sz w:val="20"/>
                <w:szCs w:val="20"/>
              </w:rPr>
              <w:t>Hinweis für die Redaktionen</w:t>
            </w:r>
          </w:p>
          <w:p w14:paraId="04D85B64" w14:textId="77777777" w:rsidR="00D943DE" w:rsidRDefault="002150ED">
            <w:pPr>
              <w:spacing w:after="240"/>
              <w:rPr>
                <w:sz w:val="20"/>
                <w:szCs w:val="20"/>
              </w:rPr>
            </w:pPr>
            <w:r>
              <w:rPr>
                <w:sz w:val="20"/>
                <w:szCs w:val="20"/>
              </w:rPr>
              <w:t>Weitere Informationen und Bildmaterial zu den THE TOKYO TOILET Projects finden Sie in unseren folgenden Medieninformationen:</w:t>
            </w:r>
          </w:p>
          <w:p w14:paraId="7B36B98E" w14:textId="77777777" w:rsidR="00D943DE" w:rsidRDefault="00E51FA4">
            <w:pPr>
              <w:spacing w:after="240"/>
              <w:rPr>
                <w:sz w:val="20"/>
                <w:szCs w:val="20"/>
              </w:rPr>
            </w:pPr>
            <w:hyperlink r:id="rId7">
              <w:r w:rsidR="002150ED">
                <w:rPr>
                  <w:rStyle w:val="Hyperlink"/>
                  <w:color w:val="000000"/>
                  <w:sz w:val="20"/>
                  <w:szCs w:val="20"/>
                </w:rPr>
                <w:t>Medieninformation zum Film „Perfect Days“</w:t>
              </w:r>
            </w:hyperlink>
          </w:p>
          <w:p w14:paraId="7D797F8F" w14:textId="77777777" w:rsidR="00D943DE" w:rsidRDefault="00E51FA4">
            <w:pPr>
              <w:spacing w:after="240"/>
              <w:rPr>
                <w:sz w:val="20"/>
                <w:szCs w:val="20"/>
              </w:rPr>
            </w:pPr>
            <w:hyperlink r:id="rId8" w:tgtFrame="_blank">
              <w:r w:rsidR="002150ED">
                <w:rPr>
                  <w:rStyle w:val="Hyperlink"/>
                  <w:color w:val="000000"/>
                  <w:sz w:val="20"/>
                  <w:szCs w:val="20"/>
                </w:rPr>
                <w:t>Medieninformation von 2022</w:t>
              </w:r>
            </w:hyperlink>
          </w:p>
          <w:p w14:paraId="391F7E45" w14:textId="77777777" w:rsidR="00D943DE" w:rsidRDefault="00E51FA4">
            <w:pPr>
              <w:spacing w:after="240"/>
              <w:rPr>
                <w:sz w:val="20"/>
                <w:szCs w:val="20"/>
              </w:rPr>
            </w:pPr>
            <w:hyperlink r:id="rId9" w:anchor="1" w:tgtFrame="_blank">
              <w:r w:rsidR="002150ED">
                <w:rPr>
                  <w:rStyle w:val="Hyperlink"/>
                  <w:color w:val="000000"/>
                  <w:sz w:val="20"/>
                  <w:szCs w:val="20"/>
                </w:rPr>
                <w:t>Medieninformation von 2020</w:t>
              </w:r>
            </w:hyperlink>
          </w:p>
          <w:p w14:paraId="083BF782" w14:textId="77777777" w:rsidR="00D943DE" w:rsidRDefault="002150ED">
            <w:pPr>
              <w:spacing w:after="240"/>
              <w:rPr>
                <w:sz w:val="20"/>
                <w:szCs w:val="20"/>
              </w:rPr>
            </w:pPr>
            <w:r>
              <w:rPr>
                <w:sz w:val="20"/>
                <w:szCs w:val="20"/>
              </w:rPr>
              <w:t xml:space="preserve">Eine Übersicht über alle Toilettenpavillons finden Sie hier: </w:t>
            </w:r>
            <w:hyperlink r:id="rId10" w:tgtFrame="_blank">
              <w:r>
                <w:rPr>
                  <w:rStyle w:val="Hyperlink"/>
                  <w:color w:val="000000"/>
                  <w:sz w:val="20"/>
                  <w:szCs w:val="20"/>
                </w:rPr>
                <w:t>https://tokyotoilet.jp/en/</w:t>
              </w:r>
            </w:hyperlink>
          </w:p>
          <w:p w14:paraId="7F92F2EA" w14:textId="356647A1" w:rsidR="00D943DE" w:rsidRDefault="002150ED">
            <w:pPr>
              <w:rPr>
                <w:sz w:val="20"/>
                <w:szCs w:val="20"/>
              </w:rPr>
            </w:pPr>
            <w:r>
              <w:rPr>
                <w:sz w:val="20"/>
                <w:szCs w:val="20"/>
              </w:rPr>
              <w:t>Düsseldorf, im März 2024</w:t>
            </w:r>
            <w:r>
              <w:rPr>
                <w:sz w:val="20"/>
                <w:szCs w:val="20"/>
              </w:rPr>
              <w:br/>
              <w:t>Abdruck honorarfrei / Beleg erbeten</w:t>
            </w:r>
          </w:p>
        </w:tc>
        <w:tc>
          <w:tcPr>
            <w:tcW w:w="1200" w:type="pct"/>
            <w:tcBorders>
              <w:top w:val="nil"/>
              <w:left w:val="nil"/>
              <w:bottom w:val="nil"/>
              <w:right w:val="nil"/>
            </w:tcBorders>
            <w:shd w:val="clear" w:color="auto" w:fill="auto"/>
            <w:tcMar>
              <w:top w:w="0" w:type="dxa"/>
              <w:left w:w="0" w:type="dxa"/>
              <w:bottom w:w="0" w:type="dxa"/>
              <w:right w:w="227" w:type="dxa"/>
            </w:tcMar>
          </w:tcPr>
          <w:p w14:paraId="437E0028" w14:textId="77777777" w:rsidR="00D943DE" w:rsidRDefault="002150ED">
            <w:pPr>
              <w:spacing w:after="240"/>
              <w:rPr>
                <w:sz w:val="20"/>
                <w:szCs w:val="20"/>
              </w:rPr>
            </w:pPr>
            <w:r>
              <w:rPr>
                <w:b/>
                <w:sz w:val="20"/>
                <w:szCs w:val="20"/>
              </w:rPr>
              <w:lastRenderedPageBreak/>
              <w:t>Ansprechpartner für Journalisten:</w:t>
            </w:r>
            <w:r>
              <w:rPr>
                <w:b/>
                <w:sz w:val="20"/>
                <w:szCs w:val="20"/>
              </w:rPr>
              <w:br/>
            </w:r>
            <w:r>
              <w:rPr>
                <w:sz w:val="20"/>
                <w:szCs w:val="20"/>
              </w:rPr>
              <w:t>bering*kopal GbR, Büro für Kommunikation</w:t>
            </w:r>
            <w:r>
              <w:rPr>
                <w:sz w:val="20"/>
                <w:szCs w:val="20"/>
              </w:rPr>
              <w:br/>
              <w:t>Heike Bering</w:t>
            </w:r>
            <w:r>
              <w:rPr>
                <w:sz w:val="20"/>
                <w:szCs w:val="20"/>
              </w:rPr>
              <w:br/>
              <w:t>Tel. +49 (0)711 7451 759 15</w:t>
            </w:r>
          </w:p>
          <w:p w14:paraId="53D8CFD4" w14:textId="77777777" w:rsidR="00D943DE" w:rsidRDefault="002150ED">
            <w:pPr>
              <w:spacing w:after="240"/>
              <w:rPr>
                <w:sz w:val="20"/>
                <w:szCs w:val="20"/>
              </w:rPr>
            </w:pPr>
            <w:r>
              <w:rPr>
                <w:sz w:val="20"/>
                <w:szCs w:val="20"/>
              </w:rPr>
              <w:t>heike.bering@</w:t>
            </w:r>
            <w:r>
              <w:rPr>
                <w:sz w:val="20"/>
                <w:szCs w:val="20"/>
              </w:rPr>
              <w:br/>
              <w:t>bering-kopal.de</w:t>
            </w:r>
          </w:p>
          <w:p w14:paraId="3FA9D4ED" w14:textId="77777777" w:rsidR="00D943DE" w:rsidRDefault="002150ED">
            <w:pPr>
              <w:spacing w:after="240"/>
              <w:rPr>
                <w:sz w:val="20"/>
                <w:szCs w:val="20"/>
              </w:rPr>
            </w:pPr>
            <w:r>
              <w:rPr>
                <w:b/>
                <w:sz w:val="20"/>
                <w:szCs w:val="20"/>
              </w:rPr>
              <w:t>Ansprechpartnerin im Unternehmen:</w:t>
            </w:r>
            <w:r>
              <w:rPr>
                <w:b/>
                <w:sz w:val="20"/>
                <w:szCs w:val="20"/>
              </w:rPr>
              <w:br/>
            </w:r>
            <w:r>
              <w:rPr>
                <w:sz w:val="20"/>
                <w:szCs w:val="20"/>
              </w:rPr>
              <w:t>Anja Giersiepen</w:t>
            </w:r>
            <w:r>
              <w:rPr>
                <w:sz w:val="20"/>
                <w:szCs w:val="20"/>
              </w:rPr>
              <w:br/>
              <w:t>anja.giersiepen@</w:t>
            </w:r>
            <w:r>
              <w:rPr>
                <w:sz w:val="20"/>
                <w:szCs w:val="20"/>
              </w:rPr>
              <w:br/>
              <w:t>toto.com</w:t>
            </w:r>
          </w:p>
          <w:p w14:paraId="715A6AED" w14:textId="77777777" w:rsidR="00D943DE" w:rsidRDefault="002150ED">
            <w:pPr>
              <w:rPr>
                <w:sz w:val="20"/>
                <w:szCs w:val="20"/>
              </w:rPr>
            </w:pPr>
            <w:r>
              <w:rPr>
                <w:sz w:val="20"/>
                <w:szCs w:val="20"/>
              </w:rPr>
              <w:t>TOTO im Internet:</w:t>
            </w:r>
            <w:r>
              <w:rPr>
                <w:sz w:val="20"/>
                <w:szCs w:val="20"/>
              </w:rPr>
              <w:br/>
            </w:r>
            <w:hyperlink r:id="rId11">
              <w:r>
                <w:rPr>
                  <w:rStyle w:val="Hyperlink"/>
                  <w:color w:val="000000"/>
                  <w:sz w:val="20"/>
                  <w:szCs w:val="20"/>
                </w:rPr>
                <w:t>eu.toto.com/de</w:t>
              </w:r>
            </w:hyperlink>
          </w:p>
        </w:tc>
      </w:tr>
    </w:tbl>
    <w:p w14:paraId="2E0FFD5D" w14:textId="77777777" w:rsidR="00D943DE" w:rsidRDefault="002150ED">
      <w:pPr>
        <w:rPr>
          <w:sz w:val="17"/>
          <w:szCs w:val="17"/>
        </w:rPr>
      </w:pPr>
      <w:r>
        <w:rPr>
          <w:b/>
          <w:sz w:val="17"/>
          <w:szCs w:val="17"/>
        </w:rPr>
        <w:lastRenderedPageBreak/>
        <w:t>1</w:t>
      </w:r>
      <w:r>
        <w:rPr>
          <w:sz w:val="17"/>
          <w:szCs w:val="17"/>
        </w:rPr>
        <w:t xml:space="preserve"> Von der traditionellen japanischen Architektur inspiriert und in der Formensprache schlicht und zurückhaltend zeigt sich das von Marc Newson entworfene Toilettenhaus. (Standort: Urasando/Designer: Marc Newson) Foto: The Nippon Foundation / TOTO Ltd.</w:t>
      </w:r>
      <w:r>
        <w:rPr>
          <w:sz w:val="17"/>
          <w:szCs w:val="17"/>
        </w:rPr>
        <w:br/>
      </w:r>
    </w:p>
    <w:p w14:paraId="36779BB3" w14:textId="77777777" w:rsidR="00D943DE" w:rsidRDefault="002150ED">
      <w:pPr>
        <w:rPr>
          <w:sz w:val="17"/>
          <w:szCs w:val="17"/>
        </w:rPr>
      </w:pPr>
      <w:r>
        <w:rPr>
          <w:b/>
          <w:sz w:val="17"/>
          <w:szCs w:val="17"/>
        </w:rPr>
        <w:t>2</w:t>
      </w:r>
      <w:r>
        <w:rPr>
          <w:sz w:val="17"/>
          <w:szCs w:val="17"/>
        </w:rPr>
        <w:t xml:space="preserve"> Unter der hochgelegenen Stadtautobahn und mit der Eisenbahnlinie in unmittelbarer Nähe wirkt das Gebäude wie ein Ruhepol in dem geschäftigen Umfeld und wird gleichzeitig zu einem Teil der Umgebung. (Standort: Urasando/Designer: Marc Newson) Foto: The Nippon Foundation / TOTO Ltd.</w:t>
      </w:r>
      <w:r>
        <w:rPr>
          <w:sz w:val="17"/>
          <w:szCs w:val="17"/>
        </w:rPr>
        <w:br/>
      </w:r>
    </w:p>
    <w:p w14:paraId="259CF460" w14:textId="77777777" w:rsidR="00D943DE" w:rsidRDefault="002150ED">
      <w:pPr>
        <w:rPr>
          <w:sz w:val="17"/>
          <w:szCs w:val="17"/>
        </w:rPr>
      </w:pPr>
      <w:r>
        <w:rPr>
          <w:b/>
          <w:sz w:val="17"/>
          <w:szCs w:val="17"/>
        </w:rPr>
        <w:t>3</w:t>
      </w:r>
      <w:r>
        <w:rPr>
          <w:sz w:val="17"/>
          <w:szCs w:val="17"/>
        </w:rPr>
        <w:t xml:space="preserve"> Außen traditionell, innen hochmodern. Die glatte, monochrome Oberfläche in hellem Blaugrün, akzentuiert durch indirekte Beleuchtung, vermittelt ein hygienisch sauberes Gefühl. (Standort: Urasando/Designer: Marc Newson) Foto: The Nippon Foundation / TOTO Ltd.</w:t>
      </w:r>
      <w:r>
        <w:rPr>
          <w:sz w:val="17"/>
          <w:szCs w:val="17"/>
        </w:rPr>
        <w:br/>
      </w:r>
    </w:p>
    <w:p w14:paraId="1157D242" w14:textId="77777777" w:rsidR="00D943DE" w:rsidRDefault="002150ED">
      <w:pPr>
        <w:rPr>
          <w:sz w:val="17"/>
          <w:szCs w:val="17"/>
        </w:rPr>
      </w:pPr>
      <w:r>
        <w:rPr>
          <w:b/>
          <w:sz w:val="17"/>
          <w:szCs w:val="17"/>
        </w:rPr>
        <w:t>4</w:t>
      </w:r>
      <w:r>
        <w:rPr>
          <w:sz w:val="17"/>
          <w:szCs w:val="17"/>
        </w:rPr>
        <w:t xml:space="preserve"> Die barrierefreien Kabinen werden über automatische Schiebetüren betreten. Alle Toiletten der Sanitäranlage sind mit WASHLETS von TOTO ausgestattet. Zudem gibt es kompakte, von TOTO entwickelte barrierefreie Toilettenpakete, die allen Menschen mit Rollstuhl oder mit einem Stoma den Zugang erleichtern. (Standort: Urasando/Designer: Marc Newson) Foto: The Nippon Foundation / TOTO Ltd.</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D943DE" w14:paraId="3F9A06F6" w14:textId="77777777">
        <w:tc>
          <w:tcPr>
            <w:tcW w:w="2444" w:type="pct"/>
            <w:tcBorders>
              <w:top w:val="nil"/>
              <w:left w:val="nil"/>
              <w:bottom w:val="nil"/>
              <w:right w:val="nil"/>
            </w:tcBorders>
            <w:shd w:val="clear" w:color="auto" w:fill="auto"/>
            <w:tcMar>
              <w:top w:w="0" w:type="dxa"/>
              <w:left w:w="0" w:type="dxa"/>
              <w:bottom w:w="0" w:type="dxa"/>
              <w:right w:w="0" w:type="dxa"/>
            </w:tcMar>
          </w:tcPr>
          <w:p w14:paraId="7129D71C" w14:textId="77777777" w:rsidR="00D943DE" w:rsidRDefault="002150ED">
            <w:pPr>
              <w:keepNext/>
              <w:keepLines/>
              <w:rPr>
                <w:sz w:val="14"/>
                <w:szCs w:val="14"/>
              </w:rPr>
            </w:pPr>
            <w:r>
              <w:rPr>
                <w:sz w:val="14"/>
                <w:szCs w:val="14"/>
              </w:rPr>
              <w:t>1.</w:t>
            </w:r>
          </w:p>
        </w:tc>
        <w:tc>
          <w:tcPr>
            <w:tcW w:w="112" w:type="pct"/>
            <w:tcBorders>
              <w:top w:val="nil"/>
              <w:left w:val="nil"/>
              <w:bottom w:val="nil"/>
              <w:right w:val="nil"/>
            </w:tcBorders>
            <w:shd w:val="clear" w:color="auto" w:fill="auto"/>
            <w:tcMar>
              <w:top w:w="0" w:type="dxa"/>
              <w:left w:w="0" w:type="dxa"/>
              <w:bottom w:w="0" w:type="dxa"/>
              <w:right w:w="0" w:type="dxa"/>
            </w:tcMar>
          </w:tcPr>
          <w:p w14:paraId="6D2E42A8" w14:textId="77777777" w:rsidR="00D943DE" w:rsidRDefault="00D943DE">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22C0200B" w14:textId="77777777" w:rsidR="00D943DE" w:rsidRDefault="002150ED">
            <w:pPr>
              <w:keepNext/>
              <w:keepLines/>
              <w:rPr>
                <w:sz w:val="14"/>
                <w:szCs w:val="14"/>
              </w:rPr>
            </w:pPr>
            <w:r>
              <w:rPr>
                <w:sz w:val="14"/>
                <w:szCs w:val="14"/>
              </w:rPr>
              <w:t>2.</w:t>
            </w:r>
          </w:p>
        </w:tc>
      </w:tr>
      <w:tr w:rsidR="00D943DE" w14:paraId="6D2017E6"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1309D15A" w14:textId="77777777" w:rsidR="00D943DE" w:rsidRDefault="002150ED">
            <w:pPr>
              <w:keepNext/>
              <w:keepLines/>
              <w:rPr>
                <w:sz w:val="14"/>
                <w:szCs w:val="14"/>
              </w:rPr>
            </w:pPr>
            <w:r>
              <w:rPr>
                <w:noProof/>
                <w:sz w:val="14"/>
                <w:szCs w:val="14"/>
              </w:rPr>
              <w:drawing>
                <wp:inline distT="0" distB="0" distL="0" distR="0" wp14:anchorId="5C9E3249" wp14:editId="3BFBF735">
                  <wp:extent cx="3023235" cy="2014220"/>
                  <wp:effectExtent l="0" t="0" r="0" b="0"/>
                  <wp:docPr id="4"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dpi="0">
                          <a:blip r:embed="rId12"/>
                          <a:srcRect/>
                          <a:stretch>
                            <a:fillRect/>
                          </a:stretch>
                        </pic:blipFill>
                        <pic:spPr>
                          <a:xfrm>
                            <a:off x="0" y="0"/>
                            <a:ext cx="3023235"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7AB13632" w14:textId="77777777" w:rsidR="00D943DE" w:rsidRDefault="00D943DE">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7B790775" w14:textId="77777777" w:rsidR="00D943DE" w:rsidRDefault="002150ED">
            <w:pPr>
              <w:keepNext/>
              <w:keepLines/>
              <w:rPr>
                <w:sz w:val="14"/>
                <w:szCs w:val="14"/>
              </w:rPr>
            </w:pPr>
            <w:r>
              <w:rPr>
                <w:noProof/>
                <w:sz w:val="14"/>
                <w:szCs w:val="14"/>
              </w:rPr>
              <w:drawing>
                <wp:inline distT="0" distB="0" distL="0" distR="0" wp14:anchorId="4C477A2E" wp14:editId="6D270CF3">
                  <wp:extent cx="3023235" cy="2014220"/>
                  <wp:effectExtent l="0" t="0" r="0" b="0"/>
                  <wp:docPr id="5"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dpi="0">
                          <a:blip r:embed="rId13"/>
                          <a:srcRect/>
                          <a:stretch>
                            <a:fillRect/>
                          </a:stretch>
                        </pic:blipFill>
                        <pic:spPr>
                          <a:xfrm>
                            <a:off x="0" y="0"/>
                            <a:ext cx="3023235" cy="2014220"/>
                          </a:xfrm>
                          <a:prstGeom prst="rect">
                            <a:avLst/>
                          </a:prstGeom>
                        </pic:spPr>
                      </pic:pic>
                    </a:graphicData>
                  </a:graphic>
                </wp:inline>
              </w:drawing>
            </w:r>
          </w:p>
        </w:tc>
      </w:tr>
      <w:tr w:rsidR="00D943DE" w14:paraId="4D54263A" w14:textId="77777777">
        <w:tc>
          <w:tcPr>
            <w:tcW w:w="2444" w:type="pct"/>
            <w:tcBorders>
              <w:top w:val="nil"/>
              <w:left w:val="nil"/>
              <w:bottom w:val="nil"/>
              <w:right w:val="nil"/>
            </w:tcBorders>
            <w:shd w:val="clear" w:color="auto" w:fill="auto"/>
            <w:tcMar>
              <w:top w:w="0" w:type="dxa"/>
              <w:left w:w="0" w:type="dxa"/>
              <w:bottom w:w="0" w:type="dxa"/>
              <w:right w:w="0" w:type="dxa"/>
            </w:tcMar>
          </w:tcPr>
          <w:p w14:paraId="0341D143" w14:textId="77777777" w:rsidR="00D943DE" w:rsidRDefault="00D943DE">
            <w:pPr>
              <w:keepNext/>
              <w:keepLines/>
              <w:rPr>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14:paraId="0F05B0D0" w14:textId="77777777" w:rsidR="00D943DE" w:rsidRDefault="00D943DE">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685CDB40" w14:textId="77777777" w:rsidR="00D943DE" w:rsidRDefault="00D943DE">
            <w:pPr>
              <w:keepNext/>
              <w:keepLines/>
              <w:rPr>
                <w:sz w:val="14"/>
                <w:szCs w:val="14"/>
              </w:rPr>
            </w:pPr>
          </w:p>
        </w:tc>
      </w:tr>
      <w:tr w:rsidR="00D943DE" w14:paraId="721DD94B" w14:textId="77777777">
        <w:tc>
          <w:tcPr>
            <w:tcW w:w="2444" w:type="pct"/>
            <w:tcBorders>
              <w:top w:val="nil"/>
              <w:left w:val="nil"/>
              <w:bottom w:val="nil"/>
              <w:right w:val="nil"/>
            </w:tcBorders>
            <w:shd w:val="clear" w:color="auto" w:fill="auto"/>
            <w:tcMar>
              <w:top w:w="0" w:type="dxa"/>
              <w:left w:w="0" w:type="dxa"/>
              <w:bottom w:w="0" w:type="dxa"/>
              <w:right w:w="0" w:type="dxa"/>
            </w:tcMar>
          </w:tcPr>
          <w:p w14:paraId="304B6234" w14:textId="77777777" w:rsidR="00D943DE" w:rsidRDefault="002150ED">
            <w:pPr>
              <w:keepNext/>
              <w:keepLines/>
              <w:rPr>
                <w:sz w:val="14"/>
                <w:szCs w:val="14"/>
              </w:rPr>
            </w:pPr>
            <w:r>
              <w:rPr>
                <w:sz w:val="14"/>
                <w:szCs w:val="14"/>
              </w:rPr>
              <w:t>3.</w:t>
            </w:r>
          </w:p>
        </w:tc>
        <w:tc>
          <w:tcPr>
            <w:tcW w:w="112" w:type="pct"/>
            <w:tcBorders>
              <w:top w:val="nil"/>
              <w:left w:val="nil"/>
              <w:bottom w:val="nil"/>
              <w:right w:val="nil"/>
            </w:tcBorders>
            <w:shd w:val="clear" w:color="auto" w:fill="auto"/>
            <w:tcMar>
              <w:top w:w="0" w:type="dxa"/>
              <w:left w:w="0" w:type="dxa"/>
              <w:bottom w:w="0" w:type="dxa"/>
              <w:right w:w="0" w:type="dxa"/>
            </w:tcMar>
          </w:tcPr>
          <w:p w14:paraId="57032447" w14:textId="77777777" w:rsidR="00D943DE" w:rsidRDefault="00D943DE">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2E93AB42" w14:textId="77777777" w:rsidR="00D943DE" w:rsidRDefault="002150ED">
            <w:pPr>
              <w:keepNext/>
              <w:keepLines/>
              <w:rPr>
                <w:sz w:val="14"/>
                <w:szCs w:val="14"/>
              </w:rPr>
            </w:pPr>
            <w:r>
              <w:rPr>
                <w:sz w:val="14"/>
                <w:szCs w:val="14"/>
              </w:rPr>
              <w:t>4.</w:t>
            </w:r>
          </w:p>
        </w:tc>
      </w:tr>
      <w:tr w:rsidR="00D943DE" w14:paraId="1FEF6BBF"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7E25F5AC" w14:textId="77777777" w:rsidR="00D943DE" w:rsidRDefault="002150ED">
            <w:pPr>
              <w:keepNext/>
              <w:keepLines/>
              <w:rPr>
                <w:sz w:val="14"/>
                <w:szCs w:val="14"/>
              </w:rPr>
            </w:pPr>
            <w:r>
              <w:rPr>
                <w:noProof/>
                <w:sz w:val="14"/>
                <w:szCs w:val="14"/>
              </w:rPr>
              <w:drawing>
                <wp:inline distT="0" distB="0" distL="0" distR="0" wp14:anchorId="0E28C91B" wp14:editId="4DB7C9FA">
                  <wp:extent cx="3023235" cy="2014220"/>
                  <wp:effectExtent l="0" t="0" r="0" b="0"/>
                  <wp:docPr id="6"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dpi="0">
                          <a:blip r:embed="rId14"/>
                          <a:srcRect/>
                          <a:stretch>
                            <a:fillRect/>
                          </a:stretch>
                        </pic:blipFill>
                        <pic:spPr>
                          <a:xfrm>
                            <a:off x="0" y="0"/>
                            <a:ext cx="3023235"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114EC930" w14:textId="77777777" w:rsidR="00D943DE" w:rsidRDefault="00D943DE">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1688FA1A" w14:textId="77777777" w:rsidR="00D943DE" w:rsidRDefault="002150ED">
            <w:pPr>
              <w:keepNext/>
              <w:keepLines/>
              <w:rPr>
                <w:sz w:val="14"/>
                <w:szCs w:val="14"/>
              </w:rPr>
            </w:pPr>
            <w:r>
              <w:rPr>
                <w:noProof/>
                <w:sz w:val="14"/>
                <w:szCs w:val="14"/>
              </w:rPr>
              <w:drawing>
                <wp:inline distT="0" distB="0" distL="0" distR="0" wp14:anchorId="1ECC6C5D" wp14:editId="2365FEE2">
                  <wp:extent cx="3023235" cy="2014220"/>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dpi="0">
                          <a:blip r:embed="rId15"/>
                          <a:srcRect/>
                          <a:stretch>
                            <a:fillRect/>
                          </a:stretch>
                        </pic:blipFill>
                        <pic:spPr>
                          <a:xfrm>
                            <a:off x="0" y="0"/>
                            <a:ext cx="3023235" cy="2014220"/>
                          </a:xfrm>
                          <a:prstGeom prst="rect">
                            <a:avLst/>
                          </a:prstGeom>
                        </pic:spPr>
                      </pic:pic>
                    </a:graphicData>
                  </a:graphic>
                </wp:inline>
              </w:drawing>
            </w:r>
          </w:p>
        </w:tc>
      </w:tr>
    </w:tbl>
    <w:p w14:paraId="3F054FFC" w14:textId="77777777" w:rsidR="00D943DE" w:rsidRDefault="002150ED">
      <w:r>
        <w:br w:type="page"/>
      </w:r>
    </w:p>
    <w:p w14:paraId="49DA48F8" w14:textId="77777777" w:rsidR="00D943DE" w:rsidRDefault="002150ED">
      <w:pPr>
        <w:rPr>
          <w:sz w:val="17"/>
          <w:szCs w:val="17"/>
        </w:rPr>
      </w:pPr>
      <w:r>
        <w:rPr>
          <w:b/>
          <w:sz w:val="17"/>
          <w:szCs w:val="17"/>
        </w:rPr>
        <w:lastRenderedPageBreak/>
        <w:t>5</w:t>
      </w:r>
      <w:r>
        <w:rPr>
          <w:sz w:val="17"/>
          <w:szCs w:val="17"/>
        </w:rPr>
        <w:t xml:space="preserve"> „Dies ist ein Gemeinschaftsraum, der zufällig auch Toiletten hat", so beschreibt der Designer Miles Pennington seinen Entwurf der öffentlichen Sanitäranlage. Ein zum Teil überdachter Außenraum bietet hier Platz für eine flexible Nutzung. (Standort: Hatagaya/Designer: Miles Pennington / DLX Design Lab) Foto: The Nippon Foundation / TOTO Ltd.</w:t>
      </w:r>
      <w:r>
        <w:rPr>
          <w:sz w:val="17"/>
          <w:szCs w:val="17"/>
        </w:rPr>
        <w:br/>
      </w:r>
    </w:p>
    <w:p w14:paraId="562E2470" w14:textId="77777777" w:rsidR="00D943DE" w:rsidRDefault="002150ED">
      <w:pPr>
        <w:rPr>
          <w:sz w:val="17"/>
          <w:szCs w:val="17"/>
        </w:rPr>
      </w:pPr>
      <w:r>
        <w:rPr>
          <w:b/>
          <w:sz w:val="17"/>
          <w:szCs w:val="17"/>
        </w:rPr>
        <w:t>6</w:t>
      </w:r>
      <w:r>
        <w:rPr>
          <w:sz w:val="17"/>
          <w:szCs w:val="17"/>
        </w:rPr>
        <w:t xml:space="preserve"> Nachts erhellen Strahler an der 5m hohen Decke den Außenraum und schaffen eine sichere und angenehme Atmosphäre. (Standort: Hatagaya/Designer: Miles Pennington / DLX Design Lab) Foto: The Nippon Foundation / TOTO Ltd.</w:t>
      </w:r>
      <w:r>
        <w:rPr>
          <w:sz w:val="17"/>
          <w:szCs w:val="17"/>
        </w:rPr>
        <w:br/>
      </w:r>
    </w:p>
    <w:p w14:paraId="4338CE6E" w14:textId="77777777" w:rsidR="00D943DE" w:rsidRDefault="002150ED">
      <w:pPr>
        <w:rPr>
          <w:sz w:val="17"/>
          <w:szCs w:val="17"/>
        </w:rPr>
      </w:pPr>
      <w:r>
        <w:rPr>
          <w:b/>
          <w:sz w:val="17"/>
          <w:szCs w:val="17"/>
        </w:rPr>
        <w:t>7</w:t>
      </w:r>
      <w:r>
        <w:rPr>
          <w:sz w:val="17"/>
          <w:szCs w:val="17"/>
        </w:rPr>
        <w:t xml:space="preserve"> Piktogramme zeigen die vorhandene Ausstattung der jeweiligen Toilettenräume. Sie sind an der automatischen Schiebetür angebracht. (Standort: Hatagaya/ Designer: Miles Pennington / DLX Design Lab) Foto: The Nippon Foundation / TOTO Ltd.</w:t>
      </w:r>
      <w:r>
        <w:rPr>
          <w:sz w:val="17"/>
          <w:szCs w:val="17"/>
        </w:rPr>
        <w:br/>
      </w:r>
    </w:p>
    <w:p w14:paraId="75542175" w14:textId="77777777" w:rsidR="00D943DE" w:rsidRDefault="002150ED">
      <w:pPr>
        <w:rPr>
          <w:sz w:val="17"/>
          <w:szCs w:val="17"/>
        </w:rPr>
      </w:pPr>
      <w:r>
        <w:rPr>
          <w:b/>
          <w:sz w:val="17"/>
          <w:szCs w:val="17"/>
        </w:rPr>
        <w:t>8</w:t>
      </w:r>
      <w:r>
        <w:rPr>
          <w:sz w:val="17"/>
          <w:szCs w:val="17"/>
        </w:rPr>
        <w:t xml:space="preserve"> Um den überdachten Raum gliedern sich die drei dreieckigen Toilettenräume. In den ansonsten weiß gehaltenen Räumen sind die Einbauten für die wandhängenden WAHLETS von TOTO. (Standort: Hatagaya/Designer: Miles Pennington / DLX Design Lab) Foto: The Nippon Foundation / TOTO Ltd.</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D943DE" w14:paraId="4D177324" w14:textId="77777777">
        <w:tc>
          <w:tcPr>
            <w:tcW w:w="2444" w:type="pct"/>
            <w:tcBorders>
              <w:top w:val="nil"/>
              <w:left w:val="nil"/>
              <w:bottom w:val="nil"/>
              <w:right w:val="nil"/>
            </w:tcBorders>
            <w:shd w:val="clear" w:color="auto" w:fill="auto"/>
            <w:tcMar>
              <w:top w:w="0" w:type="dxa"/>
              <w:left w:w="0" w:type="dxa"/>
              <w:bottom w:w="0" w:type="dxa"/>
              <w:right w:w="0" w:type="dxa"/>
            </w:tcMar>
          </w:tcPr>
          <w:p w14:paraId="37947AFE" w14:textId="77777777" w:rsidR="00D943DE" w:rsidRDefault="002150ED">
            <w:pPr>
              <w:keepNext/>
              <w:keepLines/>
              <w:rPr>
                <w:sz w:val="14"/>
                <w:szCs w:val="14"/>
              </w:rPr>
            </w:pPr>
            <w:r>
              <w:rPr>
                <w:sz w:val="14"/>
                <w:szCs w:val="14"/>
              </w:rPr>
              <w:t>5.</w:t>
            </w:r>
          </w:p>
        </w:tc>
        <w:tc>
          <w:tcPr>
            <w:tcW w:w="112" w:type="pct"/>
            <w:tcBorders>
              <w:top w:val="nil"/>
              <w:left w:val="nil"/>
              <w:bottom w:val="nil"/>
              <w:right w:val="nil"/>
            </w:tcBorders>
            <w:shd w:val="clear" w:color="auto" w:fill="auto"/>
            <w:tcMar>
              <w:top w:w="0" w:type="dxa"/>
              <w:left w:w="0" w:type="dxa"/>
              <w:bottom w:w="0" w:type="dxa"/>
              <w:right w:w="0" w:type="dxa"/>
            </w:tcMar>
          </w:tcPr>
          <w:p w14:paraId="563F34EB" w14:textId="77777777" w:rsidR="00D943DE" w:rsidRDefault="00D943DE">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51DE029F" w14:textId="77777777" w:rsidR="00D943DE" w:rsidRDefault="002150ED">
            <w:pPr>
              <w:keepNext/>
              <w:keepLines/>
              <w:rPr>
                <w:sz w:val="14"/>
                <w:szCs w:val="14"/>
              </w:rPr>
            </w:pPr>
            <w:r>
              <w:rPr>
                <w:sz w:val="14"/>
                <w:szCs w:val="14"/>
              </w:rPr>
              <w:t>6.</w:t>
            </w:r>
          </w:p>
        </w:tc>
      </w:tr>
      <w:tr w:rsidR="00D943DE" w14:paraId="28206840"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17A8FCB4" w14:textId="77777777" w:rsidR="00D943DE" w:rsidRDefault="002150ED">
            <w:pPr>
              <w:keepNext/>
              <w:keepLines/>
              <w:rPr>
                <w:sz w:val="14"/>
                <w:szCs w:val="14"/>
              </w:rPr>
            </w:pPr>
            <w:r>
              <w:rPr>
                <w:noProof/>
                <w:sz w:val="14"/>
                <w:szCs w:val="14"/>
              </w:rPr>
              <w:drawing>
                <wp:inline distT="0" distB="0" distL="0" distR="0" wp14:anchorId="1AEFE870" wp14:editId="00B4DD58">
                  <wp:extent cx="3023235" cy="2014220"/>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dpi="0">
                          <a:blip r:embed="rId16"/>
                          <a:srcRect/>
                          <a:stretch>
                            <a:fillRect/>
                          </a:stretch>
                        </pic:blipFill>
                        <pic:spPr>
                          <a:xfrm>
                            <a:off x="0" y="0"/>
                            <a:ext cx="3023235"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48F349F3" w14:textId="77777777" w:rsidR="00D943DE" w:rsidRDefault="00D943DE">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3868D0D6" w14:textId="77777777" w:rsidR="00D943DE" w:rsidRDefault="002150ED">
            <w:pPr>
              <w:keepNext/>
              <w:keepLines/>
              <w:rPr>
                <w:sz w:val="14"/>
                <w:szCs w:val="14"/>
              </w:rPr>
            </w:pPr>
            <w:r>
              <w:rPr>
                <w:noProof/>
                <w:sz w:val="14"/>
                <w:szCs w:val="14"/>
              </w:rPr>
              <w:drawing>
                <wp:inline distT="0" distB="0" distL="0" distR="0" wp14:anchorId="359C257A" wp14:editId="42568F1D">
                  <wp:extent cx="3023235" cy="2014220"/>
                  <wp:effectExtent l="0" t="0" r="0" b="0"/>
                  <wp:docPr id="9"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dpi="0">
                          <a:blip r:embed="rId17"/>
                          <a:srcRect/>
                          <a:stretch>
                            <a:fillRect/>
                          </a:stretch>
                        </pic:blipFill>
                        <pic:spPr>
                          <a:xfrm>
                            <a:off x="0" y="0"/>
                            <a:ext cx="3023235" cy="2014220"/>
                          </a:xfrm>
                          <a:prstGeom prst="rect">
                            <a:avLst/>
                          </a:prstGeom>
                        </pic:spPr>
                      </pic:pic>
                    </a:graphicData>
                  </a:graphic>
                </wp:inline>
              </w:drawing>
            </w:r>
          </w:p>
        </w:tc>
      </w:tr>
      <w:tr w:rsidR="00D943DE" w14:paraId="7B9BF902" w14:textId="77777777">
        <w:tc>
          <w:tcPr>
            <w:tcW w:w="2444" w:type="pct"/>
            <w:tcBorders>
              <w:top w:val="nil"/>
              <w:left w:val="nil"/>
              <w:bottom w:val="nil"/>
              <w:right w:val="nil"/>
            </w:tcBorders>
            <w:shd w:val="clear" w:color="auto" w:fill="auto"/>
            <w:tcMar>
              <w:top w:w="0" w:type="dxa"/>
              <w:left w:w="0" w:type="dxa"/>
              <w:bottom w:w="0" w:type="dxa"/>
              <w:right w:w="0" w:type="dxa"/>
            </w:tcMar>
          </w:tcPr>
          <w:p w14:paraId="7E4C362A" w14:textId="77777777" w:rsidR="00D943DE" w:rsidRDefault="00D943DE">
            <w:pPr>
              <w:keepNext/>
              <w:keepLines/>
              <w:rPr>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14:paraId="4CC6DE12" w14:textId="77777777" w:rsidR="00D943DE" w:rsidRDefault="00D943DE">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04423947" w14:textId="77777777" w:rsidR="00D943DE" w:rsidRDefault="00D943DE">
            <w:pPr>
              <w:keepNext/>
              <w:keepLines/>
              <w:rPr>
                <w:sz w:val="14"/>
                <w:szCs w:val="14"/>
              </w:rPr>
            </w:pPr>
          </w:p>
        </w:tc>
      </w:tr>
      <w:tr w:rsidR="00D943DE" w14:paraId="3D984A17" w14:textId="77777777">
        <w:tc>
          <w:tcPr>
            <w:tcW w:w="2444" w:type="pct"/>
            <w:tcBorders>
              <w:top w:val="nil"/>
              <w:left w:val="nil"/>
              <w:bottom w:val="nil"/>
              <w:right w:val="nil"/>
            </w:tcBorders>
            <w:shd w:val="clear" w:color="auto" w:fill="auto"/>
            <w:tcMar>
              <w:top w:w="0" w:type="dxa"/>
              <w:left w:w="0" w:type="dxa"/>
              <w:bottom w:w="0" w:type="dxa"/>
              <w:right w:w="0" w:type="dxa"/>
            </w:tcMar>
          </w:tcPr>
          <w:p w14:paraId="29ACC5FA" w14:textId="77777777" w:rsidR="00D943DE" w:rsidRDefault="002150ED">
            <w:pPr>
              <w:keepNext/>
              <w:keepLines/>
              <w:rPr>
                <w:sz w:val="14"/>
                <w:szCs w:val="14"/>
              </w:rPr>
            </w:pPr>
            <w:r>
              <w:rPr>
                <w:sz w:val="14"/>
                <w:szCs w:val="14"/>
              </w:rPr>
              <w:t>7.</w:t>
            </w:r>
          </w:p>
        </w:tc>
        <w:tc>
          <w:tcPr>
            <w:tcW w:w="112" w:type="pct"/>
            <w:tcBorders>
              <w:top w:val="nil"/>
              <w:left w:val="nil"/>
              <w:bottom w:val="nil"/>
              <w:right w:val="nil"/>
            </w:tcBorders>
            <w:shd w:val="clear" w:color="auto" w:fill="auto"/>
            <w:tcMar>
              <w:top w:w="0" w:type="dxa"/>
              <w:left w:w="0" w:type="dxa"/>
              <w:bottom w:w="0" w:type="dxa"/>
              <w:right w:w="0" w:type="dxa"/>
            </w:tcMar>
          </w:tcPr>
          <w:p w14:paraId="6433D239" w14:textId="77777777" w:rsidR="00D943DE" w:rsidRDefault="00D943DE">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3314BCB5" w14:textId="77777777" w:rsidR="00D943DE" w:rsidRDefault="002150ED">
            <w:pPr>
              <w:keepNext/>
              <w:keepLines/>
              <w:rPr>
                <w:sz w:val="14"/>
                <w:szCs w:val="14"/>
              </w:rPr>
            </w:pPr>
            <w:r>
              <w:rPr>
                <w:sz w:val="14"/>
                <w:szCs w:val="14"/>
              </w:rPr>
              <w:t>8.</w:t>
            </w:r>
          </w:p>
        </w:tc>
      </w:tr>
      <w:tr w:rsidR="00D943DE" w14:paraId="7A57C1EE"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165F2222" w14:textId="77777777" w:rsidR="00D943DE" w:rsidRDefault="002150ED">
            <w:pPr>
              <w:keepNext/>
              <w:keepLines/>
              <w:rPr>
                <w:sz w:val="14"/>
                <w:szCs w:val="14"/>
              </w:rPr>
            </w:pPr>
            <w:r>
              <w:rPr>
                <w:noProof/>
                <w:sz w:val="14"/>
                <w:szCs w:val="14"/>
              </w:rPr>
              <w:drawing>
                <wp:inline distT="0" distB="0" distL="0" distR="0" wp14:anchorId="0DBD3004" wp14:editId="2DE7D32F">
                  <wp:extent cx="3023235" cy="2014220"/>
                  <wp:effectExtent l="0" t="0" r="0" b="0"/>
                  <wp:docPr id="10"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dpi="0">
                          <a:blip r:embed="rId18"/>
                          <a:srcRect/>
                          <a:stretch>
                            <a:fillRect/>
                          </a:stretch>
                        </pic:blipFill>
                        <pic:spPr>
                          <a:xfrm>
                            <a:off x="0" y="0"/>
                            <a:ext cx="3023235"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5AAD3AA8" w14:textId="77777777" w:rsidR="00D943DE" w:rsidRDefault="00D943DE">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42B023BC" w14:textId="77777777" w:rsidR="00D943DE" w:rsidRDefault="002150ED">
            <w:pPr>
              <w:keepNext/>
              <w:keepLines/>
              <w:rPr>
                <w:sz w:val="14"/>
                <w:szCs w:val="14"/>
              </w:rPr>
            </w:pPr>
            <w:r>
              <w:rPr>
                <w:noProof/>
                <w:sz w:val="14"/>
                <w:szCs w:val="14"/>
              </w:rPr>
              <w:drawing>
                <wp:inline distT="0" distB="0" distL="0" distR="0" wp14:anchorId="319D81B9" wp14:editId="02867346">
                  <wp:extent cx="1343660" cy="2014220"/>
                  <wp:effectExtent l="0" t="0" r="0" b="0"/>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dpi="0">
                          <a:blip r:embed="rId19"/>
                          <a:srcRect/>
                          <a:stretch>
                            <a:fillRect/>
                          </a:stretch>
                        </pic:blipFill>
                        <pic:spPr>
                          <a:xfrm>
                            <a:off x="0" y="0"/>
                            <a:ext cx="1343660" cy="2014220"/>
                          </a:xfrm>
                          <a:prstGeom prst="rect">
                            <a:avLst/>
                          </a:prstGeom>
                        </pic:spPr>
                      </pic:pic>
                    </a:graphicData>
                  </a:graphic>
                </wp:inline>
              </w:drawing>
            </w:r>
          </w:p>
        </w:tc>
      </w:tr>
    </w:tbl>
    <w:p w14:paraId="13B7B11D" w14:textId="77777777" w:rsidR="00D943DE" w:rsidRDefault="002150ED">
      <w:r>
        <w:br w:type="page"/>
      </w:r>
    </w:p>
    <w:p w14:paraId="09125D83" w14:textId="77777777" w:rsidR="00D943DE" w:rsidRDefault="002150ED">
      <w:pPr>
        <w:rPr>
          <w:sz w:val="17"/>
          <w:szCs w:val="17"/>
        </w:rPr>
      </w:pPr>
      <w:r>
        <w:rPr>
          <w:b/>
          <w:sz w:val="17"/>
          <w:szCs w:val="17"/>
        </w:rPr>
        <w:lastRenderedPageBreak/>
        <w:t>9</w:t>
      </w:r>
      <w:r>
        <w:rPr>
          <w:sz w:val="17"/>
          <w:szCs w:val="17"/>
        </w:rPr>
        <w:t xml:space="preserve"> Aufgrund der örtlichen Gegebenheiten hat die Architektin Junko Kobayashi die öffentliche Toilettenanlage unter der Sasazuka Station aus einer leichten witterungsbeständigen Stahlblechkonstruktion geplant. (Standort: Sasazuka Greenway/Architektin: Junko Kobayashi, Gondola Architects) Foto: The Nippon Foundation / TOTO Ltd.</w:t>
      </w:r>
      <w:r>
        <w:rPr>
          <w:sz w:val="17"/>
          <w:szCs w:val="17"/>
        </w:rPr>
        <w:br/>
      </w:r>
    </w:p>
    <w:p w14:paraId="209A1201" w14:textId="77777777" w:rsidR="00D943DE" w:rsidRDefault="002150ED">
      <w:pPr>
        <w:rPr>
          <w:sz w:val="17"/>
          <w:szCs w:val="17"/>
        </w:rPr>
      </w:pPr>
      <w:r>
        <w:rPr>
          <w:b/>
          <w:sz w:val="17"/>
          <w:szCs w:val="17"/>
        </w:rPr>
        <w:t>10</w:t>
      </w:r>
      <w:r>
        <w:rPr>
          <w:sz w:val="17"/>
          <w:szCs w:val="17"/>
        </w:rPr>
        <w:t xml:space="preserve"> In den kreisrunden Ausschnitten des Stahlbleches sind Umrisse von Hasen abgebildet, der in der japanischen Mythologie eine besondere Bedeutung hat. (Standort: Sasazuka Greenway/Architektin: Junko Kobayashi, Gondola Architects) Foto: The Nippon Foundation / TOTO Ltd.</w:t>
      </w:r>
      <w:r>
        <w:rPr>
          <w:sz w:val="17"/>
          <w:szCs w:val="17"/>
        </w:rPr>
        <w:br/>
      </w:r>
    </w:p>
    <w:p w14:paraId="51B178AB" w14:textId="77777777" w:rsidR="00D943DE" w:rsidRDefault="002150ED">
      <w:pPr>
        <w:rPr>
          <w:sz w:val="17"/>
          <w:szCs w:val="17"/>
        </w:rPr>
      </w:pPr>
      <w:r>
        <w:rPr>
          <w:b/>
          <w:sz w:val="17"/>
          <w:szCs w:val="17"/>
        </w:rPr>
        <w:t>11</w:t>
      </w:r>
      <w:r>
        <w:rPr>
          <w:sz w:val="17"/>
          <w:szCs w:val="17"/>
        </w:rPr>
        <w:t xml:space="preserve"> In den unterschiedlich hohen Zylindern befinden sich Kindertoiletten, eine barrierefreie Toilette für Menschen mit Behinderung, ein Wickelraum sowie eine Herren- und eine Damentoilette. (Standort: Sasazuka Greenway/Architektin: Junko Kobayashi, Gondola Architects) Foto: The Nippon Foundation / TOTO Ltd.</w:t>
      </w:r>
      <w:r>
        <w:rPr>
          <w:sz w:val="17"/>
          <w:szCs w:val="17"/>
        </w:rPr>
        <w:br/>
      </w:r>
    </w:p>
    <w:p w14:paraId="206F1CD4" w14:textId="77777777" w:rsidR="00D943DE" w:rsidRDefault="002150ED">
      <w:pPr>
        <w:rPr>
          <w:sz w:val="17"/>
          <w:szCs w:val="17"/>
        </w:rPr>
      </w:pPr>
      <w:r>
        <w:rPr>
          <w:b/>
          <w:sz w:val="17"/>
          <w:szCs w:val="17"/>
        </w:rPr>
        <w:t>12</w:t>
      </w:r>
      <w:r>
        <w:rPr>
          <w:sz w:val="17"/>
          <w:szCs w:val="17"/>
        </w:rPr>
        <w:t xml:space="preserve"> In allen Toilettenräumen sind TOTO WASHLETS verbaut. (Standort: Sasazuka Greenway/Architektin: Junko Kobayashi, Gondola Architects) Foto: The Nippon Foundation / TOTO Ltd.</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D943DE" w14:paraId="5615EF1D" w14:textId="77777777">
        <w:tc>
          <w:tcPr>
            <w:tcW w:w="2444" w:type="pct"/>
            <w:tcBorders>
              <w:top w:val="nil"/>
              <w:left w:val="nil"/>
              <w:bottom w:val="nil"/>
              <w:right w:val="nil"/>
            </w:tcBorders>
            <w:shd w:val="clear" w:color="auto" w:fill="auto"/>
            <w:tcMar>
              <w:top w:w="0" w:type="dxa"/>
              <w:left w:w="0" w:type="dxa"/>
              <w:bottom w:w="0" w:type="dxa"/>
              <w:right w:w="0" w:type="dxa"/>
            </w:tcMar>
          </w:tcPr>
          <w:p w14:paraId="61B1A949" w14:textId="77777777" w:rsidR="00D943DE" w:rsidRDefault="002150ED">
            <w:pPr>
              <w:keepNext/>
              <w:keepLines/>
              <w:rPr>
                <w:sz w:val="14"/>
                <w:szCs w:val="14"/>
              </w:rPr>
            </w:pPr>
            <w:r>
              <w:rPr>
                <w:sz w:val="14"/>
                <w:szCs w:val="14"/>
              </w:rPr>
              <w:t>9.</w:t>
            </w:r>
          </w:p>
        </w:tc>
        <w:tc>
          <w:tcPr>
            <w:tcW w:w="112" w:type="pct"/>
            <w:tcBorders>
              <w:top w:val="nil"/>
              <w:left w:val="nil"/>
              <w:bottom w:val="nil"/>
              <w:right w:val="nil"/>
            </w:tcBorders>
            <w:shd w:val="clear" w:color="auto" w:fill="auto"/>
            <w:tcMar>
              <w:top w:w="0" w:type="dxa"/>
              <w:left w:w="0" w:type="dxa"/>
              <w:bottom w:w="0" w:type="dxa"/>
              <w:right w:w="0" w:type="dxa"/>
            </w:tcMar>
          </w:tcPr>
          <w:p w14:paraId="77B83F2A" w14:textId="77777777" w:rsidR="00D943DE" w:rsidRDefault="00D943DE">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725C32CE" w14:textId="77777777" w:rsidR="00D943DE" w:rsidRDefault="002150ED">
            <w:pPr>
              <w:keepNext/>
              <w:keepLines/>
              <w:rPr>
                <w:sz w:val="14"/>
                <w:szCs w:val="14"/>
              </w:rPr>
            </w:pPr>
            <w:r>
              <w:rPr>
                <w:sz w:val="14"/>
                <w:szCs w:val="14"/>
              </w:rPr>
              <w:t>10.</w:t>
            </w:r>
          </w:p>
        </w:tc>
      </w:tr>
      <w:tr w:rsidR="00D943DE" w14:paraId="6A1DF064"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22830321" w14:textId="77777777" w:rsidR="00D943DE" w:rsidRDefault="002150ED">
            <w:pPr>
              <w:keepNext/>
              <w:keepLines/>
              <w:rPr>
                <w:sz w:val="14"/>
                <w:szCs w:val="14"/>
              </w:rPr>
            </w:pPr>
            <w:r>
              <w:rPr>
                <w:noProof/>
                <w:sz w:val="14"/>
                <w:szCs w:val="14"/>
              </w:rPr>
              <w:drawing>
                <wp:inline distT="0" distB="0" distL="0" distR="0" wp14:anchorId="7B00E878" wp14:editId="6CE32B98">
                  <wp:extent cx="3023235" cy="2014220"/>
                  <wp:effectExtent l="0" t="0" r="0" b="0"/>
                  <wp:docPr id="12" name="Pictu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dpi="0">
                          <a:blip r:embed="rId20"/>
                          <a:srcRect/>
                          <a:stretch>
                            <a:fillRect/>
                          </a:stretch>
                        </pic:blipFill>
                        <pic:spPr>
                          <a:xfrm>
                            <a:off x="0" y="0"/>
                            <a:ext cx="3023235"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171BC96E" w14:textId="77777777" w:rsidR="00D943DE" w:rsidRDefault="00D943DE">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200B3C88" w14:textId="77777777" w:rsidR="00D943DE" w:rsidRDefault="002150ED">
            <w:pPr>
              <w:keepNext/>
              <w:keepLines/>
              <w:rPr>
                <w:sz w:val="14"/>
                <w:szCs w:val="14"/>
              </w:rPr>
            </w:pPr>
            <w:r>
              <w:rPr>
                <w:noProof/>
                <w:sz w:val="14"/>
                <w:szCs w:val="14"/>
              </w:rPr>
              <w:drawing>
                <wp:inline distT="0" distB="0" distL="0" distR="0" wp14:anchorId="620C5BA1" wp14:editId="0F24219B">
                  <wp:extent cx="3023235" cy="2014220"/>
                  <wp:effectExtent l="0" t="0" r="0" b="0"/>
                  <wp:docPr id="13"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dpi="0">
                          <a:blip r:embed="rId21"/>
                          <a:srcRect/>
                          <a:stretch>
                            <a:fillRect/>
                          </a:stretch>
                        </pic:blipFill>
                        <pic:spPr>
                          <a:xfrm>
                            <a:off x="0" y="0"/>
                            <a:ext cx="3023235" cy="2014220"/>
                          </a:xfrm>
                          <a:prstGeom prst="rect">
                            <a:avLst/>
                          </a:prstGeom>
                        </pic:spPr>
                      </pic:pic>
                    </a:graphicData>
                  </a:graphic>
                </wp:inline>
              </w:drawing>
            </w:r>
          </w:p>
        </w:tc>
      </w:tr>
      <w:tr w:rsidR="00D943DE" w14:paraId="6181FA96" w14:textId="77777777">
        <w:tc>
          <w:tcPr>
            <w:tcW w:w="2444" w:type="pct"/>
            <w:tcBorders>
              <w:top w:val="nil"/>
              <w:left w:val="nil"/>
              <w:bottom w:val="nil"/>
              <w:right w:val="nil"/>
            </w:tcBorders>
            <w:shd w:val="clear" w:color="auto" w:fill="auto"/>
            <w:tcMar>
              <w:top w:w="0" w:type="dxa"/>
              <w:left w:w="0" w:type="dxa"/>
              <w:bottom w:w="0" w:type="dxa"/>
              <w:right w:w="0" w:type="dxa"/>
            </w:tcMar>
          </w:tcPr>
          <w:p w14:paraId="199C1501" w14:textId="77777777" w:rsidR="00D943DE" w:rsidRDefault="00D943DE">
            <w:pPr>
              <w:keepNext/>
              <w:keepLines/>
              <w:rPr>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14:paraId="13DE97B0" w14:textId="77777777" w:rsidR="00D943DE" w:rsidRDefault="00D943DE">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5D6E09FC" w14:textId="77777777" w:rsidR="00D943DE" w:rsidRDefault="00D943DE">
            <w:pPr>
              <w:keepNext/>
              <w:keepLines/>
              <w:rPr>
                <w:sz w:val="14"/>
                <w:szCs w:val="14"/>
              </w:rPr>
            </w:pPr>
          </w:p>
        </w:tc>
      </w:tr>
      <w:tr w:rsidR="00D943DE" w14:paraId="2043B2B6" w14:textId="77777777">
        <w:tc>
          <w:tcPr>
            <w:tcW w:w="2444" w:type="pct"/>
            <w:tcBorders>
              <w:top w:val="nil"/>
              <w:left w:val="nil"/>
              <w:bottom w:val="nil"/>
              <w:right w:val="nil"/>
            </w:tcBorders>
            <w:shd w:val="clear" w:color="auto" w:fill="auto"/>
            <w:tcMar>
              <w:top w:w="0" w:type="dxa"/>
              <w:left w:w="0" w:type="dxa"/>
              <w:bottom w:w="0" w:type="dxa"/>
              <w:right w:w="0" w:type="dxa"/>
            </w:tcMar>
          </w:tcPr>
          <w:p w14:paraId="527737DD" w14:textId="77777777" w:rsidR="00D943DE" w:rsidRDefault="002150ED">
            <w:pPr>
              <w:keepNext/>
              <w:keepLines/>
              <w:rPr>
                <w:sz w:val="14"/>
                <w:szCs w:val="14"/>
              </w:rPr>
            </w:pPr>
            <w:r>
              <w:rPr>
                <w:sz w:val="14"/>
                <w:szCs w:val="14"/>
              </w:rPr>
              <w:t>11.</w:t>
            </w:r>
          </w:p>
        </w:tc>
        <w:tc>
          <w:tcPr>
            <w:tcW w:w="112" w:type="pct"/>
            <w:tcBorders>
              <w:top w:val="nil"/>
              <w:left w:val="nil"/>
              <w:bottom w:val="nil"/>
              <w:right w:val="nil"/>
            </w:tcBorders>
            <w:shd w:val="clear" w:color="auto" w:fill="auto"/>
            <w:tcMar>
              <w:top w:w="0" w:type="dxa"/>
              <w:left w:w="0" w:type="dxa"/>
              <w:bottom w:w="0" w:type="dxa"/>
              <w:right w:w="0" w:type="dxa"/>
            </w:tcMar>
          </w:tcPr>
          <w:p w14:paraId="42A6FE4A" w14:textId="77777777" w:rsidR="00D943DE" w:rsidRDefault="00D943DE">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1B763108" w14:textId="77777777" w:rsidR="00D943DE" w:rsidRDefault="002150ED">
            <w:pPr>
              <w:keepNext/>
              <w:keepLines/>
              <w:rPr>
                <w:sz w:val="14"/>
                <w:szCs w:val="14"/>
              </w:rPr>
            </w:pPr>
            <w:r>
              <w:rPr>
                <w:sz w:val="14"/>
                <w:szCs w:val="14"/>
              </w:rPr>
              <w:t>12.</w:t>
            </w:r>
          </w:p>
        </w:tc>
      </w:tr>
      <w:tr w:rsidR="00D943DE" w14:paraId="465E9D62"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602BA970" w14:textId="77777777" w:rsidR="00D943DE" w:rsidRDefault="002150ED">
            <w:pPr>
              <w:keepNext/>
              <w:keepLines/>
              <w:rPr>
                <w:sz w:val="14"/>
                <w:szCs w:val="14"/>
              </w:rPr>
            </w:pPr>
            <w:r>
              <w:rPr>
                <w:noProof/>
                <w:sz w:val="14"/>
                <w:szCs w:val="14"/>
              </w:rPr>
              <w:drawing>
                <wp:inline distT="0" distB="0" distL="0" distR="0" wp14:anchorId="782A0348" wp14:editId="7ECCE866">
                  <wp:extent cx="1343660" cy="2014220"/>
                  <wp:effectExtent l="0" t="0" r="0" b="0"/>
                  <wp:docPr id="14" name="Pictu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dpi="0">
                          <a:blip r:embed="rId22"/>
                          <a:srcRect/>
                          <a:stretch>
                            <a:fillRect/>
                          </a:stretch>
                        </pic:blipFill>
                        <pic:spPr>
                          <a:xfrm>
                            <a:off x="0" y="0"/>
                            <a:ext cx="1343660"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061005CF" w14:textId="77777777" w:rsidR="00D943DE" w:rsidRDefault="00D943DE">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2FBB7AB1" w14:textId="77777777" w:rsidR="00D943DE" w:rsidRDefault="002150ED">
            <w:pPr>
              <w:keepNext/>
              <w:keepLines/>
              <w:rPr>
                <w:sz w:val="14"/>
                <w:szCs w:val="14"/>
              </w:rPr>
            </w:pPr>
            <w:r>
              <w:rPr>
                <w:noProof/>
                <w:sz w:val="14"/>
                <w:szCs w:val="14"/>
              </w:rPr>
              <w:drawing>
                <wp:inline distT="0" distB="0" distL="0" distR="0" wp14:anchorId="15FC8C04" wp14:editId="14942BC7">
                  <wp:extent cx="1343660" cy="2014220"/>
                  <wp:effectExtent l="0" t="0" r="0" b="0"/>
                  <wp:docPr id="15"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dpi="0">
                          <a:blip r:embed="rId23"/>
                          <a:srcRect/>
                          <a:stretch>
                            <a:fillRect/>
                          </a:stretch>
                        </pic:blipFill>
                        <pic:spPr>
                          <a:xfrm>
                            <a:off x="0" y="0"/>
                            <a:ext cx="1343660" cy="2014220"/>
                          </a:xfrm>
                          <a:prstGeom prst="rect">
                            <a:avLst/>
                          </a:prstGeom>
                        </pic:spPr>
                      </pic:pic>
                    </a:graphicData>
                  </a:graphic>
                </wp:inline>
              </w:drawing>
            </w:r>
          </w:p>
        </w:tc>
      </w:tr>
    </w:tbl>
    <w:p w14:paraId="36C8A493" w14:textId="77777777" w:rsidR="00D943DE" w:rsidRDefault="002150ED">
      <w:r>
        <w:br w:type="page"/>
      </w:r>
    </w:p>
    <w:p w14:paraId="4A5E6B6D" w14:textId="77777777" w:rsidR="00D943DE" w:rsidRDefault="002150ED">
      <w:pPr>
        <w:rPr>
          <w:sz w:val="17"/>
          <w:szCs w:val="17"/>
        </w:rPr>
      </w:pPr>
      <w:r>
        <w:rPr>
          <w:b/>
          <w:sz w:val="17"/>
          <w:szCs w:val="17"/>
        </w:rPr>
        <w:lastRenderedPageBreak/>
        <w:t>13</w:t>
      </w:r>
      <w:r>
        <w:rPr>
          <w:sz w:val="17"/>
          <w:szCs w:val="17"/>
        </w:rPr>
        <w:t xml:space="preserve"> Die Toilettenanlage, entworfen von dem Architekten Sou Fujimoto, erinnert mit ihren weißen geschwungenen Linien an ein überdimensionales Waschbecken. (Standort: Nishisando/Architekt: Sou Fujimoto) Foto: The Nippon Foundation / TOTO Ltd.</w:t>
      </w:r>
      <w:r>
        <w:rPr>
          <w:sz w:val="17"/>
          <w:szCs w:val="17"/>
        </w:rPr>
        <w:br/>
      </w:r>
    </w:p>
    <w:p w14:paraId="234C0E24" w14:textId="77777777" w:rsidR="00D943DE" w:rsidRDefault="002150ED">
      <w:pPr>
        <w:rPr>
          <w:sz w:val="17"/>
          <w:szCs w:val="17"/>
        </w:rPr>
      </w:pPr>
      <w:r>
        <w:rPr>
          <w:b/>
          <w:sz w:val="17"/>
          <w:szCs w:val="17"/>
        </w:rPr>
        <w:t>14</w:t>
      </w:r>
      <w:r>
        <w:rPr>
          <w:sz w:val="17"/>
          <w:szCs w:val="17"/>
        </w:rPr>
        <w:t xml:space="preserve"> Über den offenen Innenhof erreicht man die Damen- und Herrentoiletten. (Standort: Nishisando/Architekt: Sou Fujimoto) Foto: The Nippon Foundation / TOTO Ltd.</w:t>
      </w:r>
      <w:r>
        <w:rPr>
          <w:sz w:val="17"/>
          <w:szCs w:val="17"/>
        </w:rPr>
        <w:br/>
      </w:r>
    </w:p>
    <w:p w14:paraId="37C730E1" w14:textId="77777777" w:rsidR="00D943DE" w:rsidRDefault="002150ED">
      <w:pPr>
        <w:rPr>
          <w:sz w:val="17"/>
          <w:szCs w:val="17"/>
        </w:rPr>
      </w:pPr>
      <w:r>
        <w:rPr>
          <w:b/>
          <w:sz w:val="17"/>
          <w:szCs w:val="17"/>
        </w:rPr>
        <w:t>15</w:t>
      </w:r>
      <w:r>
        <w:rPr>
          <w:sz w:val="17"/>
          <w:szCs w:val="17"/>
        </w:rPr>
        <w:t xml:space="preserve"> Zur Straße hin senkt sich die umgrenzende Außenwand ab und ermöglicht Menschen den Zugang zu Trinkwasser oder zum Händewaschen in unterschiedlichen Höhen. (Standort: Nishisando/Architekt: Sou Fujimoto) Foto: The Nippon Foundation / TOTO Ltd.</w:t>
      </w:r>
      <w:r>
        <w:rPr>
          <w:sz w:val="17"/>
          <w:szCs w:val="17"/>
        </w:rPr>
        <w:br/>
      </w:r>
    </w:p>
    <w:p w14:paraId="6FAAEB3F" w14:textId="77777777" w:rsidR="00D943DE" w:rsidRDefault="002150ED">
      <w:pPr>
        <w:rPr>
          <w:sz w:val="17"/>
          <w:szCs w:val="17"/>
        </w:rPr>
      </w:pPr>
      <w:r>
        <w:rPr>
          <w:b/>
          <w:sz w:val="17"/>
          <w:szCs w:val="17"/>
        </w:rPr>
        <w:t>16</w:t>
      </w:r>
      <w:r>
        <w:rPr>
          <w:sz w:val="17"/>
          <w:szCs w:val="17"/>
        </w:rPr>
        <w:t xml:space="preserve"> Die barrierefreie Unisex Toilette mit Wickeltisch ist über einen separaten Eingang mit automatischen Schiebetüren an der schmalen Seite des Gebäudes zugänglich. (Standort: Nishisando/Architekt: Sou Fujimoto) Foto: The Nippon Foundation / TOTO Ltd.</w:t>
      </w:r>
      <w:r>
        <w:rPr>
          <w:sz w:val="17"/>
          <w:szCs w:val="17"/>
        </w:rPr>
        <w:br/>
      </w:r>
      <w:r>
        <w:rPr>
          <w:sz w:val="17"/>
          <w:szCs w:val="17"/>
        </w:rPr>
        <w:br/>
      </w:r>
      <w:r>
        <w:rPr>
          <w:sz w:val="17"/>
          <w:szCs w:val="17"/>
        </w:rPr>
        <w:br/>
      </w:r>
    </w:p>
    <w:tbl>
      <w:tblPr>
        <w:tblStyle w:val="TabelleEinfach1"/>
        <w:tblW w:w="5000" w:type="pct"/>
        <w:tblLayout w:type="fixed"/>
        <w:tblCellMar>
          <w:left w:w="0" w:type="dxa"/>
          <w:right w:w="0" w:type="dxa"/>
        </w:tblCellMar>
        <w:tblLook w:val="04A0" w:firstRow="1" w:lastRow="0" w:firstColumn="1" w:lastColumn="0" w:noHBand="0" w:noVBand="1"/>
      </w:tblPr>
      <w:tblGrid>
        <w:gridCol w:w="4767"/>
        <w:gridCol w:w="218"/>
        <w:gridCol w:w="4767"/>
      </w:tblGrid>
      <w:tr w:rsidR="00D943DE" w14:paraId="3DD870B7" w14:textId="77777777">
        <w:tc>
          <w:tcPr>
            <w:tcW w:w="2444" w:type="pct"/>
            <w:tcBorders>
              <w:top w:val="nil"/>
              <w:left w:val="nil"/>
              <w:bottom w:val="nil"/>
              <w:right w:val="nil"/>
            </w:tcBorders>
            <w:shd w:val="clear" w:color="auto" w:fill="auto"/>
            <w:tcMar>
              <w:top w:w="0" w:type="dxa"/>
              <w:left w:w="0" w:type="dxa"/>
              <w:bottom w:w="0" w:type="dxa"/>
              <w:right w:w="0" w:type="dxa"/>
            </w:tcMar>
          </w:tcPr>
          <w:p w14:paraId="0B0FC2FB" w14:textId="77777777" w:rsidR="00D943DE" w:rsidRDefault="002150ED">
            <w:pPr>
              <w:keepNext/>
              <w:keepLines/>
              <w:rPr>
                <w:sz w:val="14"/>
                <w:szCs w:val="14"/>
              </w:rPr>
            </w:pPr>
            <w:r>
              <w:rPr>
                <w:sz w:val="14"/>
                <w:szCs w:val="14"/>
              </w:rPr>
              <w:t>13.</w:t>
            </w:r>
          </w:p>
        </w:tc>
        <w:tc>
          <w:tcPr>
            <w:tcW w:w="112" w:type="pct"/>
            <w:tcBorders>
              <w:top w:val="nil"/>
              <w:left w:val="nil"/>
              <w:bottom w:val="nil"/>
              <w:right w:val="nil"/>
            </w:tcBorders>
            <w:shd w:val="clear" w:color="auto" w:fill="auto"/>
            <w:tcMar>
              <w:top w:w="0" w:type="dxa"/>
              <w:left w:w="0" w:type="dxa"/>
              <w:bottom w:w="0" w:type="dxa"/>
              <w:right w:w="0" w:type="dxa"/>
            </w:tcMar>
          </w:tcPr>
          <w:p w14:paraId="76B7CAA8" w14:textId="77777777" w:rsidR="00D943DE" w:rsidRDefault="00D943DE">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03E68712" w14:textId="77777777" w:rsidR="00D943DE" w:rsidRDefault="002150ED">
            <w:pPr>
              <w:keepNext/>
              <w:keepLines/>
              <w:rPr>
                <w:sz w:val="14"/>
                <w:szCs w:val="14"/>
              </w:rPr>
            </w:pPr>
            <w:r>
              <w:rPr>
                <w:sz w:val="14"/>
                <w:szCs w:val="14"/>
              </w:rPr>
              <w:t>14.</w:t>
            </w:r>
          </w:p>
        </w:tc>
      </w:tr>
      <w:tr w:rsidR="00D943DE" w14:paraId="1B7DD17D"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3368F8A5" w14:textId="77777777" w:rsidR="00D943DE" w:rsidRDefault="002150ED">
            <w:pPr>
              <w:keepNext/>
              <w:keepLines/>
              <w:rPr>
                <w:sz w:val="14"/>
                <w:szCs w:val="14"/>
              </w:rPr>
            </w:pPr>
            <w:r>
              <w:rPr>
                <w:noProof/>
                <w:sz w:val="14"/>
                <w:szCs w:val="14"/>
              </w:rPr>
              <w:drawing>
                <wp:inline distT="0" distB="0" distL="0" distR="0" wp14:anchorId="13603F39" wp14:editId="6E661D95">
                  <wp:extent cx="3023235" cy="2014220"/>
                  <wp:effectExtent l="0" t="0" r="0" b="0"/>
                  <wp:docPr id="16"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dpi="0">
                          <a:blip r:embed="rId24"/>
                          <a:srcRect/>
                          <a:stretch>
                            <a:fillRect/>
                          </a:stretch>
                        </pic:blipFill>
                        <pic:spPr>
                          <a:xfrm>
                            <a:off x="0" y="0"/>
                            <a:ext cx="3023235"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5D179573" w14:textId="77777777" w:rsidR="00D943DE" w:rsidRDefault="00D943DE">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6CCD4FDD" w14:textId="77777777" w:rsidR="00D943DE" w:rsidRDefault="002150ED">
            <w:pPr>
              <w:keepNext/>
              <w:keepLines/>
              <w:rPr>
                <w:sz w:val="14"/>
                <w:szCs w:val="14"/>
              </w:rPr>
            </w:pPr>
            <w:r>
              <w:rPr>
                <w:noProof/>
                <w:sz w:val="14"/>
                <w:szCs w:val="14"/>
              </w:rPr>
              <w:drawing>
                <wp:inline distT="0" distB="0" distL="0" distR="0" wp14:anchorId="5E89DFF4" wp14:editId="6A61732C">
                  <wp:extent cx="3023235" cy="2014220"/>
                  <wp:effectExtent l="0" t="0" r="0" b="0"/>
                  <wp:docPr id="17" name="Pictu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dpi="0">
                          <a:blip r:embed="rId25"/>
                          <a:srcRect/>
                          <a:stretch>
                            <a:fillRect/>
                          </a:stretch>
                        </pic:blipFill>
                        <pic:spPr>
                          <a:xfrm>
                            <a:off x="0" y="0"/>
                            <a:ext cx="3023235" cy="2014220"/>
                          </a:xfrm>
                          <a:prstGeom prst="rect">
                            <a:avLst/>
                          </a:prstGeom>
                        </pic:spPr>
                      </pic:pic>
                    </a:graphicData>
                  </a:graphic>
                </wp:inline>
              </w:drawing>
            </w:r>
          </w:p>
        </w:tc>
      </w:tr>
      <w:tr w:rsidR="00D943DE" w14:paraId="5AC1F0F3" w14:textId="77777777">
        <w:tc>
          <w:tcPr>
            <w:tcW w:w="2444" w:type="pct"/>
            <w:tcBorders>
              <w:top w:val="nil"/>
              <w:left w:val="nil"/>
              <w:bottom w:val="nil"/>
              <w:right w:val="nil"/>
            </w:tcBorders>
            <w:shd w:val="clear" w:color="auto" w:fill="auto"/>
            <w:tcMar>
              <w:top w:w="0" w:type="dxa"/>
              <w:left w:w="0" w:type="dxa"/>
              <w:bottom w:w="0" w:type="dxa"/>
              <w:right w:w="0" w:type="dxa"/>
            </w:tcMar>
          </w:tcPr>
          <w:p w14:paraId="44DA7A28" w14:textId="77777777" w:rsidR="00D943DE" w:rsidRDefault="00D943DE">
            <w:pPr>
              <w:keepNext/>
              <w:keepLines/>
              <w:rPr>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14:paraId="0C8D30E4" w14:textId="77777777" w:rsidR="00D943DE" w:rsidRDefault="00D943DE">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1F9964EF" w14:textId="77777777" w:rsidR="00D943DE" w:rsidRDefault="00D943DE">
            <w:pPr>
              <w:keepNext/>
              <w:keepLines/>
              <w:rPr>
                <w:sz w:val="14"/>
                <w:szCs w:val="14"/>
              </w:rPr>
            </w:pPr>
          </w:p>
        </w:tc>
      </w:tr>
      <w:tr w:rsidR="00D943DE" w14:paraId="2371A8F6" w14:textId="77777777">
        <w:tc>
          <w:tcPr>
            <w:tcW w:w="2444" w:type="pct"/>
            <w:tcBorders>
              <w:top w:val="nil"/>
              <w:left w:val="nil"/>
              <w:bottom w:val="nil"/>
              <w:right w:val="nil"/>
            </w:tcBorders>
            <w:shd w:val="clear" w:color="auto" w:fill="auto"/>
            <w:tcMar>
              <w:top w:w="0" w:type="dxa"/>
              <w:left w:w="0" w:type="dxa"/>
              <w:bottom w:w="0" w:type="dxa"/>
              <w:right w:w="0" w:type="dxa"/>
            </w:tcMar>
          </w:tcPr>
          <w:p w14:paraId="5D458918" w14:textId="77777777" w:rsidR="00D943DE" w:rsidRDefault="002150ED">
            <w:pPr>
              <w:keepNext/>
              <w:keepLines/>
              <w:rPr>
                <w:sz w:val="14"/>
                <w:szCs w:val="14"/>
              </w:rPr>
            </w:pPr>
            <w:r>
              <w:rPr>
                <w:sz w:val="14"/>
                <w:szCs w:val="14"/>
              </w:rPr>
              <w:t>15.</w:t>
            </w:r>
          </w:p>
        </w:tc>
        <w:tc>
          <w:tcPr>
            <w:tcW w:w="112" w:type="pct"/>
            <w:tcBorders>
              <w:top w:val="nil"/>
              <w:left w:val="nil"/>
              <w:bottom w:val="nil"/>
              <w:right w:val="nil"/>
            </w:tcBorders>
            <w:shd w:val="clear" w:color="auto" w:fill="auto"/>
            <w:tcMar>
              <w:top w:w="0" w:type="dxa"/>
              <w:left w:w="0" w:type="dxa"/>
              <w:bottom w:w="0" w:type="dxa"/>
              <w:right w:w="0" w:type="dxa"/>
            </w:tcMar>
          </w:tcPr>
          <w:p w14:paraId="4FA9505C" w14:textId="77777777" w:rsidR="00D943DE" w:rsidRDefault="00D943DE">
            <w:pPr>
              <w:keepNext/>
              <w:keepLines/>
              <w:rPr>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14:paraId="2D7CAFD1" w14:textId="77777777" w:rsidR="00D943DE" w:rsidRDefault="002150ED">
            <w:pPr>
              <w:keepNext/>
              <w:keepLines/>
              <w:rPr>
                <w:sz w:val="14"/>
                <w:szCs w:val="14"/>
              </w:rPr>
            </w:pPr>
            <w:r>
              <w:rPr>
                <w:sz w:val="14"/>
                <w:szCs w:val="14"/>
              </w:rPr>
              <w:t>16.</w:t>
            </w:r>
          </w:p>
        </w:tc>
      </w:tr>
      <w:tr w:rsidR="00D943DE" w14:paraId="659D1869" w14:textId="77777777">
        <w:trPr>
          <w:trHeight w:hRule="exact" w:val="3175"/>
        </w:trPr>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5A6BBC82" w14:textId="77777777" w:rsidR="00D943DE" w:rsidRDefault="002150ED">
            <w:pPr>
              <w:keepNext/>
              <w:keepLines/>
              <w:rPr>
                <w:sz w:val="14"/>
                <w:szCs w:val="14"/>
              </w:rPr>
            </w:pPr>
            <w:r>
              <w:rPr>
                <w:noProof/>
                <w:sz w:val="14"/>
                <w:szCs w:val="14"/>
              </w:rPr>
              <w:drawing>
                <wp:inline distT="0" distB="0" distL="0" distR="0" wp14:anchorId="378C4F87" wp14:editId="1CD3C124">
                  <wp:extent cx="1343660" cy="2014220"/>
                  <wp:effectExtent l="0" t="0" r="0" b="0"/>
                  <wp:docPr id="18" name="Pictu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dpi="0">
                          <a:blip r:embed="rId26"/>
                          <a:srcRect/>
                          <a:stretch>
                            <a:fillRect/>
                          </a:stretch>
                        </pic:blipFill>
                        <pic:spPr>
                          <a:xfrm>
                            <a:off x="0" y="0"/>
                            <a:ext cx="1343660" cy="2014220"/>
                          </a:xfrm>
                          <a:prstGeom prst="rect">
                            <a:avLst/>
                          </a:prstGeom>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14:paraId="722BAA94" w14:textId="77777777" w:rsidR="00D943DE" w:rsidRDefault="00D943DE">
            <w:pPr>
              <w:keepNext/>
              <w:keepLines/>
              <w:rPr>
                <w:sz w:val="14"/>
                <w:szCs w:val="14"/>
              </w:rPr>
            </w:pPr>
          </w:p>
        </w:tc>
        <w:tc>
          <w:tcPr>
            <w:tcW w:w="2444" w:type="pct"/>
            <w:tcBorders>
              <w:top w:val="single" w:sz="2" w:space="0" w:color="DCDCDC"/>
              <w:left w:val="single" w:sz="2" w:space="0" w:color="DCDCDC"/>
              <w:bottom w:val="single" w:sz="2" w:space="0" w:color="DCDCDC"/>
              <w:right w:val="single" w:sz="2" w:space="0" w:color="DCDCDC"/>
            </w:tcBorders>
            <w:shd w:val="clear" w:color="auto" w:fill="auto"/>
            <w:tcMar>
              <w:top w:w="0" w:type="dxa"/>
              <w:left w:w="0" w:type="dxa"/>
              <w:bottom w:w="0" w:type="dxa"/>
              <w:right w:w="0" w:type="dxa"/>
            </w:tcMar>
          </w:tcPr>
          <w:p w14:paraId="103BEA6D" w14:textId="77777777" w:rsidR="00D943DE" w:rsidRDefault="002150ED">
            <w:pPr>
              <w:keepNext/>
              <w:keepLines/>
              <w:rPr>
                <w:sz w:val="14"/>
                <w:szCs w:val="14"/>
              </w:rPr>
            </w:pPr>
            <w:r>
              <w:rPr>
                <w:noProof/>
                <w:sz w:val="14"/>
                <w:szCs w:val="14"/>
              </w:rPr>
              <w:drawing>
                <wp:inline distT="0" distB="0" distL="0" distR="0" wp14:anchorId="02A5466B" wp14:editId="198B1D2A">
                  <wp:extent cx="3023235" cy="2014220"/>
                  <wp:effectExtent l="0" t="0" r="0" b="0"/>
                  <wp:docPr id="19" name="Pictu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dpi="0">
                          <a:blip r:embed="rId27"/>
                          <a:srcRect/>
                          <a:stretch>
                            <a:fillRect/>
                          </a:stretch>
                        </pic:blipFill>
                        <pic:spPr>
                          <a:xfrm>
                            <a:off x="0" y="0"/>
                            <a:ext cx="3023235" cy="2014220"/>
                          </a:xfrm>
                          <a:prstGeom prst="rect">
                            <a:avLst/>
                          </a:prstGeom>
                        </pic:spPr>
                      </pic:pic>
                    </a:graphicData>
                  </a:graphic>
                </wp:inline>
              </w:drawing>
            </w:r>
          </w:p>
        </w:tc>
      </w:tr>
    </w:tbl>
    <w:p w14:paraId="56BE528E" w14:textId="77777777" w:rsidR="00D943DE" w:rsidRDefault="002150ED">
      <w:r>
        <w:br w:type="page"/>
      </w:r>
    </w:p>
    <w:tbl>
      <w:tblPr>
        <w:tblStyle w:val="TabelleEinfach1"/>
        <w:tblW w:w="5000" w:type="pct"/>
        <w:tblLayout w:type="fixed"/>
        <w:tblCellMar>
          <w:left w:w="0" w:type="dxa"/>
          <w:right w:w="227" w:type="dxa"/>
        </w:tblCellMar>
        <w:tblLook w:val="04A0" w:firstRow="1" w:lastRow="0" w:firstColumn="1" w:lastColumn="0" w:noHBand="0" w:noVBand="1"/>
      </w:tblPr>
      <w:tblGrid>
        <w:gridCol w:w="3706"/>
        <w:gridCol w:w="3706"/>
        <w:gridCol w:w="2340"/>
      </w:tblGrid>
      <w:tr w:rsidR="00D943DE" w14:paraId="6BA32F59" w14:textId="77777777">
        <w:tc>
          <w:tcPr>
            <w:tcW w:w="3800" w:type="pct"/>
            <w:gridSpan w:val="2"/>
            <w:tcBorders>
              <w:top w:val="nil"/>
              <w:left w:val="nil"/>
              <w:bottom w:val="nil"/>
              <w:right w:val="nil"/>
            </w:tcBorders>
            <w:shd w:val="clear" w:color="auto" w:fill="auto"/>
            <w:tcMar>
              <w:top w:w="0" w:type="dxa"/>
              <w:left w:w="0" w:type="dxa"/>
              <w:bottom w:w="0" w:type="dxa"/>
              <w:right w:w="227" w:type="dxa"/>
            </w:tcMar>
          </w:tcPr>
          <w:p w14:paraId="5E71E654" w14:textId="77777777" w:rsidR="00D943DE" w:rsidRDefault="002150ED">
            <w:pPr>
              <w:spacing w:before="240" w:after="240"/>
              <w:rPr>
                <w:sz w:val="20"/>
                <w:szCs w:val="20"/>
              </w:rPr>
            </w:pPr>
            <w:r>
              <w:rPr>
                <w:b/>
                <w:sz w:val="20"/>
                <w:szCs w:val="20"/>
              </w:rPr>
              <w:lastRenderedPageBreak/>
              <w:t>Über TOTO Europe</w:t>
            </w:r>
          </w:p>
          <w:p w14:paraId="529E0F10" w14:textId="77777777" w:rsidR="00D943DE" w:rsidRDefault="002150ED">
            <w:pPr>
              <w:spacing w:before="240" w:after="240"/>
              <w:rPr>
                <w:sz w:val="20"/>
                <w:szCs w:val="20"/>
              </w:rPr>
            </w:pPr>
            <w:r>
              <w:rPr>
                <w:sz w:val="20"/>
                <w:szCs w:val="20"/>
              </w:rPr>
              <w:t xml:space="preserve">Bei TOTO, das zu den führenden internationalen Sanitärunternehmen zählt, steht der Mensch und sein Wohlbefinden im Mittelpunkt. Bereits 1917 in Kitakyushu, Japan, gegründet, entwickelt, produziert und vertreibt TOTO seit 2009 seine ganzheitlichen Badezimmerkonzepte für gehobene Ansprüche auch in Europa. Das Ziel ist es, durch Regeneration, Komfort und Hygiene ein neues Lebensgefühl zu schaffen und die Technik intelligent und nahezu unsichtbar in das Design zu integrieren. Japans führender Hersteller präsentiert als Komplettbadanbieter Sanitärkeramik, Armaturen und Accessoires. Das Unternehmen kann mittlerweile auf über 40 Jahre Entwicklung und Herstellung von WASHLET zurückblicken und hat bisher weltweit über 60 Mio. Stück verkauft. Auf dem Weg zu einem nachhaltig ausgerichteten Unternehmen, das die Entwicklung hin zu einer vollständig emissionsfreien Gesellschaft unterstützt, zeigt TOTO ein hohes Engagement: Mit dem Beitritt zur Initiative RE100 bekennt sich die TOTO-Unternehmensgruppe dazu, an allen Standorten bis zum Jahr 2040 vollständig auf Strom aus erneuerbaren Energien umzustellen. Im Juni 2021 erfolgte die Zertifizierung der </w:t>
            </w:r>
            <w:hyperlink r:id="rId28">
              <w:r>
                <w:rPr>
                  <w:rStyle w:val="Hyperlink"/>
                  <w:color w:val="000000"/>
                  <w:sz w:val="20"/>
                  <w:szCs w:val="20"/>
                </w:rPr>
                <w:t xml:space="preserve">Science Based Targets </w:t>
              </w:r>
            </w:hyperlink>
            <w:r>
              <w:rPr>
                <w:sz w:val="20"/>
                <w:szCs w:val="20"/>
              </w:rPr>
              <w:t>Initiative (SBT), um die Reduzierung von Treibhausgasen im Einklang mit dem Pariser Abkommen zu erreichen und auf dieser Grundlage die CO</w:t>
            </w:r>
            <w:r>
              <w:rPr>
                <w:sz w:val="20"/>
                <w:szCs w:val="20"/>
                <w:vertAlign w:val="subscript"/>
              </w:rPr>
              <w:t>2</w:t>
            </w:r>
            <w:r>
              <w:rPr>
                <w:sz w:val="20"/>
                <w:szCs w:val="20"/>
              </w:rPr>
              <w:t>-Emissionen systematisch weiter zu reduzieren. Weltweit arbeiten mehr als 36000 Menschen bei TOTO.</w:t>
            </w:r>
          </w:p>
          <w:p w14:paraId="14B4BDE5" w14:textId="77777777" w:rsidR="00D943DE" w:rsidRDefault="002150ED">
            <w:pPr>
              <w:spacing w:before="240" w:after="240"/>
              <w:rPr>
                <w:sz w:val="20"/>
                <w:szCs w:val="20"/>
              </w:rPr>
            </w:pPr>
            <w:r>
              <w:rPr>
                <w:sz w:val="20"/>
                <w:szCs w:val="20"/>
              </w:rPr>
              <w:t xml:space="preserve">Mehr über TOTO: </w:t>
            </w:r>
            <w:hyperlink r:id="rId29" w:tgtFrame="_blank">
              <w:r>
                <w:rPr>
                  <w:rStyle w:val="Hyperlink"/>
                  <w:color w:val="000000"/>
                  <w:sz w:val="20"/>
                  <w:szCs w:val="20"/>
                </w:rPr>
                <w:t>de.toto.com</w:t>
              </w:r>
            </w:hyperlink>
          </w:p>
          <w:p w14:paraId="74E5AEF0" w14:textId="77777777" w:rsidR="00D943DE" w:rsidRDefault="002150ED">
            <w:pPr>
              <w:rPr>
                <w:sz w:val="20"/>
                <w:szCs w:val="20"/>
              </w:rPr>
            </w:pPr>
            <w:r>
              <w:rPr>
                <w:sz w:val="20"/>
                <w:szCs w:val="20"/>
              </w:rPr>
              <w:br/>
            </w:r>
          </w:p>
        </w:tc>
        <w:tc>
          <w:tcPr>
            <w:tcW w:w="1200" w:type="pct"/>
            <w:tcBorders>
              <w:top w:val="nil"/>
              <w:left w:val="nil"/>
              <w:bottom w:val="nil"/>
              <w:right w:val="nil"/>
            </w:tcBorders>
            <w:shd w:val="clear" w:color="auto" w:fill="auto"/>
            <w:tcMar>
              <w:top w:w="0" w:type="dxa"/>
              <w:left w:w="0" w:type="dxa"/>
              <w:bottom w:w="0" w:type="dxa"/>
              <w:right w:w="227" w:type="dxa"/>
            </w:tcMar>
          </w:tcPr>
          <w:p w14:paraId="2A752899" w14:textId="77777777" w:rsidR="00D943DE" w:rsidRDefault="002150ED">
            <w:pPr>
              <w:rPr>
                <w:sz w:val="20"/>
                <w:szCs w:val="20"/>
              </w:rPr>
            </w:pPr>
            <w:r>
              <w:rPr>
                <w:sz w:val="20"/>
                <w:szCs w:val="20"/>
              </w:rPr>
              <w:br/>
            </w:r>
          </w:p>
        </w:tc>
      </w:tr>
      <w:tr w:rsidR="00D943DE" w14:paraId="08DDD1BF" w14:textId="77777777">
        <w:trPr>
          <w:gridAfter w:val="1"/>
          <w:wAfter w:w="1728" w:type="dxa"/>
        </w:trPr>
        <w:tc>
          <w:tcPr>
            <w:tcW w:w="2736" w:type="dxa"/>
            <w:tcBorders>
              <w:top w:val="nil"/>
              <w:left w:val="nil"/>
              <w:bottom w:val="nil"/>
              <w:right w:val="nil"/>
            </w:tcBorders>
            <w:shd w:val="clear" w:color="auto" w:fill="auto"/>
            <w:tcMar>
              <w:top w:w="0" w:type="dxa"/>
              <w:left w:w="0" w:type="dxa"/>
              <w:bottom w:w="0" w:type="dxa"/>
              <w:right w:w="227" w:type="dxa"/>
            </w:tcMar>
          </w:tcPr>
          <w:p w14:paraId="6E5C6B41" w14:textId="77777777" w:rsidR="00D943DE" w:rsidRDefault="00D943DE">
            <w:pPr>
              <w:rPr>
                <w:sz w:val="20"/>
                <w:szCs w:val="20"/>
              </w:rPr>
            </w:pPr>
          </w:p>
        </w:tc>
        <w:tc>
          <w:tcPr>
            <w:tcW w:w="2736" w:type="dxa"/>
            <w:tcBorders>
              <w:top w:val="nil"/>
              <w:left w:val="nil"/>
              <w:bottom w:val="nil"/>
              <w:right w:val="nil"/>
            </w:tcBorders>
            <w:shd w:val="clear" w:color="auto" w:fill="auto"/>
            <w:tcMar>
              <w:top w:w="0" w:type="dxa"/>
              <w:left w:w="0" w:type="dxa"/>
              <w:bottom w:w="0" w:type="dxa"/>
              <w:right w:w="227" w:type="dxa"/>
            </w:tcMar>
          </w:tcPr>
          <w:p w14:paraId="6A8B9B9D" w14:textId="77777777" w:rsidR="00D943DE" w:rsidRDefault="00D943DE">
            <w:pPr>
              <w:rPr>
                <w:sz w:val="20"/>
                <w:szCs w:val="20"/>
              </w:rPr>
            </w:pPr>
          </w:p>
        </w:tc>
      </w:tr>
    </w:tbl>
    <w:p w14:paraId="40C43B98" w14:textId="77777777" w:rsidR="00D943DE" w:rsidRDefault="002150ED">
      <w:r>
        <w:br/>
      </w:r>
    </w:p>
    <w:tbl>
      <w:tblPr>
        <w:tblStyle w:val="TabelleEinfach1"/>
        <w:tblW w:w="5000" w:type="pct"/>
        <w:tblLayout w:type="fixed"/>
        <w:tblCellMar>
          <w:left w:w="0" w:type="dxa"/>
          <w:right w:w="227" w:type="dxa"/>
        </w:tblCellMar>
        <w:tblLook w:val="04A0" w:firstRow="1" w:lastRow="0" w:firstColumn="1" w:lastColumn="0" w:noHBand="0" w:noVBand="1"/>
      </w:tblPr>
      <w:tblGrid>
        <w:gridCol w:w="3706"/>
        <w:gridCol w:w="3706"/>
        <w:gridCol w:w="2340"/>
      </w:tblGrid>
      <w:tr w:rsidR="00D943DE" w14:paraId="2F10475C" w14:textId="77777777">
        <w:tc>
          <w:tcPr>
            <w:tcW w:w="3800" w:type="pct"/>
            <w:gridSpan w:val="2"/>
            <w:tcBorders>
              <w:top w:val="nil"/>
              <w:left w:val="nil"/>
              <w:bottom w:val="nil"/>
              <w:right w:val="nil"/>
            </w:tcBorders>
            <w:shd w:val="clear" w:color="auto" w:fill="auto"/>
            <w:tcMar>
              <w:top w:w="0" w:type="dxa"/>
              <w:left w:w="0" w:type="dxa"/>
              <w:bottom w:w="0" w:type="dxa"/>
              <w:right w:w="227" w:type="dxa"/>
            </w:tcMar>
          </w:tcPr>
          <w:p w14:paraId="432EFA54" w14:textId="77777777" w:rsidR="00D943DE" w:rsidRDefault="002150ED">
            <w:pPr>
              <w:rPr>
                <w:sz w:val="20"/>
                <w:szCs w:val="20"/>
              </w:rPr>
            </w:pPr>
            <w:r>
              <w:rPr>
                <w:b/>
                <w:sz w:val="20"/>
                <w:szCs w:val="20"/>
              </w:rPr>
              <w:t>QR-Code der Medieninformation</w:t>
            </w:r>
          </w:p>
        </w:tc>
        <w:tc>
          <w:tcPr>
            <w:tcW w:w="1200" w:type="pct"/>
            <w:tcBorders>
              <w:top w:val="nil"/>
              <w:left w:val="nil"/>
              <w:bottom w:val="nil"/>
              <w:right w:val="nil"/>
            </w:tcBorders>
            <w:shd w:val="clear" w:color="auto" w:fill="auto"/>
            <w:tcMar>
              <w:top w:w="0" w:type="dxa"/>
              <w:left w:w="0" w:type="dxa"/>
              <w:bottom w:w="0" w:type="dxa"/>
              <w:right w:w="227" w:type="dxa"/>
            </w:tcMar>
          </w:tcPr>
          <w:p w14:paraId="7C46469F" w14:textId="77777777" w:rsidR="00D943DE" w:rsidRDefault="002150ED">
            <w:pPr>
              <w:rPr>
                <w:sz w:val="20"/>
                <w:szCs w:val="20"/>
              </w:rPr>
            </w:pPr>
            <w:r>
              <w:rPr>
                <w:sz w:val="20"/>
                <w:szCs w:val="20"/>
              </w:rPr>
              <w:br/>
            </w:r>
          </w:p>
        </w:tc>
      </w:tr>
      <w:tr w:rsidR="00D943DE" w14:paraId="435975EA" w14:textId="77777777">
        <w:trPr>
          <w:gridAfter w:val="1"/>
          <w:wAfter w:w="1728" w:type="dxa"/>
        </w:trPr>
        <w:tc>
          <w:tcPr>
            <w:tcW w:w="2736" w:type="dxa"/>
            <w:tcBorders>
              <w:top w:val="nil"/>
              <w:left w:val="nil"/>
              <w:bottom w:val="nil"/>
              <w:right w:val="nil"/>
            </w:tcBorders>
            <w:shd w:val="clear" w:color="auto" w:fill="auto"/>
            <w:tcMar>
              <w:top w:w="0" w:type="dxa"/>
              <w:left w:w="0" w:type="dxa"/>
              <w:bottom w:w="0" w:type="dxa"/>
              <w:right w:w="227" w:type="dxa"/>
            </w:tcMar>
          </w:tcPr>
          <w:p w14:paraId="1E8E692B" w14:textId="77777777" w:rsidR="00D943DE" w:rsidRDefault="00D943DE">
            <w:pPr>
              <w:rPr>
                <w:sz w:val="20"/>
                <w:szCs w:val="20"/>
              </w:rPr>
            </w:pPr>
          </w:p>
        </w:tc>
        <w:tc>
          <w:tcPr>
            <w:tcW w:w="2736" w:type="dxa"/>
            <w:tcBorders>
              <w:top w:val="nil"/>
              <w:left w:val="nil"/>
              <w:bottom w:val="nil"/>
              <w:right w:val="nil"/>
            </w:tcBorders>
            <w:shd w:val="clear" w:color="auto" w:fill="auto"/>
            <w:tcMar>
              <w:top w:w="0" w:type="dxa"/>
              <w:left w:w="0" w:type="dxa"/>
              <w:bottom w:w="0" w:type="dxa"/>
              <w:right w:w="227" w:type="dxa"/>
            </w:tcMar>
          </w:tcPr>
          <w:p w14:paraId="58655ACE" w14:textId="77777777" w:rsidR="00D943DE" w:rsidRDefault="00D943DE">
            <w:pPr>
              <w:rPr>
                <w:sz w:val="20"/>
                <w:szCs w:val="20"/>
              </w:rPr>
            </w:pPr>
          </w:p>
        </w:tc>
      </w:tr>
    </w:tbl>
    <w:p w14:paraId="5A0D6D1F" w14:textId="77777777" w:rsidR="00D943DE" w:rsidRDefault="002150ED">
      <w:r>
        <w:rPr>
          <w:noProof/>
          <w:sz w:val="18"/>
          <w:szCs w:val="18"/>
        </w:rPr>
        <w:drawing>
          <wp:inline distT="0" distB="0" distL="0" distR="0" wp14:anchorId="08EA80C5" wp14:editId="275ACC00">
            <wp:extent cx="1800860" cy="1800860"/>
            <wp:effectExtent l="0" t="0" r="0" b="0"/>
            <wp:docPr id="20" name="Pictu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dpi="0">
                    <a:blip r:embed="rId30"/>
                    <a:srcRect/>
                    <a:stretch>
                      <a:fillRect/>
                    </a:stretch>
                  </pic:blipFill>
                  <pic:spPr>
                    <a:xfrm>
                      <a:off x="0" y="0"/>
                      <a:ext cx="1800860" cy="1800860"/>
                    </a:xfrm>
                    <a:prstGeom prst="rect">
                      <a:avLst/>
                    </a:prstGeom>
                  </pic:spPr>
                </pic:pic>
              </a:graphicData>
            </a:graphic>
          </wp:inline>
        </w:drawing>
      </w:r>
      <w:r>
        <w:rPr>
          <w:sz w:val="18"/>
          <w:szCs w:val="18"/>
        </w:rPr>
        <w:br/>
      </w:r>
    </w:p>
    <w:sectPr w:rsidR="00D943DE">
      <w:headerReference w:type="default" r:id="rId31"/>
      <w:footerReference w:type="default" r:id="rId32"/>
      <w:headerReference w:type="first" r:id="rId33"/>
      <w:footerReference w:type="first" r:id="rId34"/>
      <w:pgSz w:w="11906" w:h="16838"/>
      <w:pgMar w:top="1701" w:right="1020" w:bottom="1417" w:left="1134" w:header="850" w:footer="283"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2875B4A" w14:textId="77777777" w:rsidR="002150ED" w:rsidRDefault="002150ED">
      <w:pPr>
        <w:spacing w:line="240" w:lineRule="auto"/>
      </w:pPr>
      <w:r>
        <w:separator/>
      </w:r>
    </w:p>
  </w:endnote>
  <w:endnote w:type="continuationSeparator" w:id="0">
    <w:p w14:paraId="7E7D5E8F" w14:textId="77777777" w:rsidR="002150ED" w:rsidRDefault="002150E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Einfach1"/>
      <w:tblW w:w="5000" w:type="pct"/>
      <w:tblLayout w:type="fixed"/>
      <w:tblLook w:val="04A0" w:firstRow="1" w:lastRow="0" w:firstColumn="1" w:lastColumn="0" w:noHBand="0" w:noVBand="1"/>
    </w:tblPr>
    <w:tblGrid>
      <w:gridCol w:w="9557"/>
      <w:gridCol w:w="195"/>
    </w:tblGrid>
    <w:tr w:rsidR="00D943DE" w14:paraId="4B53DA45" w14:textId="77777777">
      <w:tc>
        <w:tcPr>
          <w:tcW w:w="4900" w:type="pct"/>
          <w:tcBorders>
            <w:top w:val="nil"/>
            <w:left w:val="nil"/>
            <w:bottom w:val="nil"/>
            <w:right w:val="nil"/>
          </w:tcBorders>
          <w:shd w:val="clear" w:color="auto" w:fill="auto"/>
          <w:tcMar>
            <w:top w:w="0" w:type="dxa"/>
            <w:left w:w="0" w:type="dxa"/>
            <w:bottom w:w="0" w:type="dxa"/>
            <w:right w:w="0" w:type="dxa"/>
          </w:tcMar>
          <w:vAlign w:val="bottom"/>
        </w:tcPr>
        <w:tbl>
          <w:tblPr>
            <w:tblW w:w="5000" w:type="pct"/>
            <w:tblCellSpacing w:w="0" w:type="dxa"/>
            <w:tblBorders>
              <w:top w:val="nil"/>
              <w:left w:val="nil"/>
              <w:bottom w:val="nil"/>
              <w:right w:val="nil"/>
            </w:tblBorders>
            <w:tblLayout w:type="fixed"/>
            <w:tblCellMar>
              <w:left w:w="0" w:type="dxa"/>
              <w:right w:w="0" w:type="dxa"/>
            </w:tblCellMar>
            <w:tblLook w:val="04A0" w:firstRow="1" w:lastRow="0" w:firstColumn="1" w:lastColumn="0" w:noHBand="0" w:noVBand="1"/>
          </w:tblPr>
          <w:tblGrid>
            <w:gridCol w:w="35"/>
            <w:gridCol w:w="93"/>
            <w:gridCol w:w="1590"/>
            <w:gridCol w:w="35"/>
            <w:gridCol w:w="93"/>
            <w:gridCol w:w="1590"/>
            <w:gridCol w:w="35"/>
            <w:gridCol w:w="93"/>
            <w:gridCol w:w="2151"/>
            <w:gridCol w:w="35"/>
            <w:gridCol w:w="94"/>
            <w:gridCol w:w="1965"/>
            <w:gridCol w:w="35"/>
            <w:gridCol w:w="94"/>
            <w:gridCol w:w="1591"/>
            <w:gridCol w:w="20"/>
          </w:tblGrid>
          <w:tr w:rsidR="00D943DE" w:rsidRPr="008873B6" w14:paraId="35438809" w14:textId="77777777">
            <w:trPr>
              <w:tblCellSpacing w:w="0" w:type="dxa"/>
            </w:trPr>
            <w:tc>
              <w:tcPr>
                <w:tcW w:w="15" w:type="dxa"/>
                <w:tcBorders>
                  <w:left w:val="single" w:sz="6" w:space="0" w:color="000000"/>
                </w:tcBorders>
                <w:shd w:val="clear" w:color="auto" w:fill="FFFFFF"/>
                <w:vAlign w:val="center"/>
                <w:hideMark/>
              </w:tcPr>
              <w:p w14:paraId="52ABD858" w14:textId="77777777" w:rsidR="00D943DE" w:rsidRDefault="002150ED">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25977D64" w14:textId="77777777" w:rsidR="00D943DE" w:rsidRDefault="002150ED">
                <w:pPr>
                  <w:rPr>
                    <w:sz w:val="10"/>
                    <w:szCs w:val="10"/>
                  </w:rPr>
                </w:pPr>
                <w:r>
                  <w:rPr>
                    <w:sz w:val="10"/>
                    <w:szCs w:val="10"/>
                  </w:rPr>
                  <w:t> </w:t>
                </w:r>
              </w:p>
            </w:tc>
            <w:tc>
              <w:tcPr>
                <w:tcW w:w="850" w:type="pct"/>
                <w:vAlign w:val="center"/>
                <w:hideMark/>
              </w:tcPr>
              <w:p w14:paraId="3FB21B80" w14:textId="77777777" w:rsidR="00D943DE" w:rsidRDefault="002150ED">
                <w:pPr>
                  <w:rPr>
                    <w:sz w:val="10"/>
                    <w:szCs w:val="10"/>
                  </w:rPr>
                </w:pPr>
                <w:r>
                  <w:rPr>
                    <w:b/>
                    <w:sz w:val="10"/>
                    <w:szCs w:val="10"/>
                  </w:rPr>
                  <w:t>TOTO Europe GmbH</w:t>
                </w:r>
                <w:r>
                  <w:rPr>
                    <w:b/>
                    <w:sz w:val="10"/>
                    <w:szCs w:val="10"/>
                  </w:rPr>
                  <w:br/>
                </w:r>
                <w:r>
                  <w:rPr>
                    <w:sz w:val="10"/>
                    <w:szCs w:val="10"/>
                  </w:rPr>
                  <w:t>Zollhof 2</w:t>
                </w:r>
                <w:r>
                  <w:rPr>
                    <w:sz w:val="10"/>
                    <w:szCs w:val="10"/>
                  </w:rPr>
                  <w:br/>
                  <w:t>40221 Düsseldorf</w:t>
                </w:r>
                <w:r>
                  <w:rPr>
                    <w:sz w:val="10"/>
                    <w:szCs w:val="10"/>
                  </w:rPr>
                  <w:br/>
                  <w:t>Germany</w:t>
                </w:r>
              </w:p>
            </w:tc>
            <w:tc>
              <w:tcPr>
                <w:tcW w:w="15" w:type="dxa"/>
                <w:tcBorders>
                  <w:left w:val="single" w:sz="6" w:space="0" w:color="000000"/>
                </w:tcBorders>
                <w:shd w:val="clear" w:color="auto" w:fill="FFFFFF"/>
                <w:vAlign w:val="center"/>
                <w:hideMark/>
              </w:tcPr>
              <w:p w14:paraId="2ED5E3DA" w14:textId="77777777" w:rsidR="00D943DE" w:rsidRDefault="002150ED">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5E9300AE" w14:textId="77777777" w:rsidR="00D943DE" w:rsidRDefault="002150ED">
                <w:pPr>
                  <w:rPr>
                    <w:sz w:val="10"/>
                    <w:szCs w:val="10"/>
                  </w:rPr>
                </w:pPr>
                <w:r>
                  <w:rPr>
                    <w:sz w:val="10"/>
                    <w:szCs w:val="10"/>
                  </w:rPr>
                  <w:t> </w:t>
                </w:r>
              </w:p>
            </w:tc>
            <w:tc>
              <w:tcPr>
                <w:tcW w:w="850" w:type="pct"/>
                <w:vAlign w:val="center"/>
                <w:hideMark/>
              </w:tcPr>
              <w:p w14:paraId="488DEEEC" w14:textId="77777777" w:rsidR="00D943DE" w:rsidRDefault="002150ED">
                <w:pPr>
                  <w:rPr>
                    <w:sz w:val="10"/>
                    <w:szCs w:val="10"/>
                  </w:rPr>
                </w:pPr>
                <w:r>
                  <w:rPr>
                    <w:sz w:val="10"/>
                    <w:szCs w:val="10"/>
                  </w:rPr>
                  <w:t>T +49 (0)211 2 73 08-200</w:t>
                </w:r>
                <w:r>
                  <w:rPr>
                    <w:sz w:val="10"/>
                    <w:szCs w:val="10"/>
                  </w:rPr>
                  <w:br/>
                  <w:t>F +49 (0)211 2 73 08-202</w:t>
                </w:r>
                <w:r>
                  <w:rPr>
                    <w:sz w:val="10"/>
                    <w:szCs w:val="10"/>
                  </w:rPr>
                  <w:br/>
                  <w:t>teu.info@toto.com</w:t>
                </w:r>
                <w:r>
                  <w:rPr>
                    <w:sz w:val="10"/>
                    <w:szCs w:val="10"/>
                  </w:rPr>
                  <w:br/>
                  <w:t>eu.toto.com</w:t>
                </w:r>
              </w:p>
            </w:tc>
            <w:tc>
              <w:tcPr>
                <w:tcW w:w="15" w:type="dxa"/>
                <w:tcBorders>
                  <w:left w:val="single" w:sz="6" w:space="0" w:color="000000"/>
                </w:tcBorders>
                <w:shd w:val="clear" w:color="auto" w:fill="FFFFFF"/>
                <w:vAlign w:val="center"/>
                <w:hideMark/>
              </w:tcPr>
              <w:p w14:paraId="0813BA2A" w14:textId="77777777" w:rsidR="00D943DE" w:rsidRDefault="002150ED">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77D99C58" w14:textId="77777777" w:rsidR="00D943DE" w:rsidRDefault="002150ED">
                <w:pPr>
                  <w:rPr>
                    <w:sz w:val="10"/>
                    <w:szCs w:val="10"/>
                  </w:rPr>
                </w:pPr>
                <w:r>
                  <w:rPr>
                    <w:sz w:val="10"/>
                    <w:szCs w:val="10"/>
                  </w:rPr>
                  <w:t> </w:t>
                </w:r>
              </w:p>
            </w:tc>
            <w:tc>
              <w:tcPr>
                <w:tcW w:w="1150" w:type="pct"/>
                <w:vAlign w:val="center"/>
                <w:hideMark/>
              </w:tcPr>
              <w:p w14:paraId="724FD9EC" w14:textId="77777777" w:rsidR="00D943DE" w:rsidRDefault="002150ED">
                <w:pPr>
                  <w:rPr>
                    <w:sz w:val="10"/>
                    <w:szCs w:val="10"/>
                  </w:rPr>
                </w:pPr>
                <w:r>
                  <w:rPr>
                    <w:sz w:val="10"/>
                    <w:szCs w:val="10"/>
                  </w:rPr>
                  <w:t>Commerzbank AG Essen</w:t>
                </w:r>
                <w:r>
                  <w:rPr>
                    <w:sz w:val="10"/>
                    <w:szCs w:val="10"/>
                  </w:rPr>
                  <w:br/>
                  <w:t>BLZ: 360 400 39 . KTO: 150 6211</w:t>
                </w:r>
                <w:r>
                  <w:rPr>
                    <w:sz w:val="10"/>
                    <w:szCs w:val="10"/>
                  </w:rPr>
                  <w:br/>
                  <w:t>IBAN: DE 32 36040039 0150621100</w:t>
                </w:r>
                <w:r>
                  <w:rPr>
                    <w:sz w:val="10"/>
                    <w:szCs w:val="10"/>
                  </w:rPr>
                  <w:br/>
                  <w:t>BIC: COBADEFF360</w:t>
                </w:r>
              </w:p>
            </w:tc>
            <w:tc>
              <w:tcPr>
                <w:tcW w:w="15" w:type="dxa"/>
                <w:tcBorders>
                  <w:left w:val="single" w:sz="6" w:space="0" w:color="000000"/>
                </w:tcBorders>
                <w:shd w:val="clear" w:color="auto" w:fill="FFFFFF"/>
                <w:vAlign w:val="center"/>
                <w:hideMark/>
              </w:tcPr>
              <w:p w14:paraId="7C68199C" w14:textId="77777777" w:rsidR="00D943DE" w:rsidRDefault="002150ED">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40AB5EA6" w14:textId="77777777" w:rsidR="00D943DE" w:rsidRDefault="002150ED">
                <w:pPr>
                  <w:rPr>
                    <w:sz w:val="10"/>
                    <w:szCs w:val="10"/>
                  </w:rPr>
                </w:pPr>
                <w:r>
                  <w:rPr>
                    <w:sz w:val="10"/>
                    <w:szCs w:val="10"/>
                  </w:rPr>
                  <w:t> </w:t>
                </w:r>
              </w:p>
            </w:tc>
            <w:tc>
              <w:tcPr>
                <w:tcW w:w="1050" w:type="pct"/>
                <w:vAlign w:val="center"/>
                <w:hideMark/>
              </w:tcPr>
              <w:p w14:paraId="095ACC37" w14:textId="77777777" w:rsidR="00D943DE" w:rsidRDefault="002150ED">
                <w:pPr>
                  <w:rPr>
                    <w:sz w:val="10"/>
                    <w:szCs w:val="10"/>
                  </w:rPr>
                </w:pPr>
                <w:r>
                  <w:rPr>
                    <w:sz w:val="10"/>
                    <w:szCs w:val="10"/>
                  </w:rPr>
                  <w:t>AG Düsseldorf . HRB 24827</w:t>
                </w:r>
                <w:r>
                  <w:rPr>
                    <w:sz w:val="10"/>
                    <w:szCs w:val="10"/>
                  </w:rPr>
                  <w:br/>
                  <w:t>Managing Directors:</w:t>
                </w:r>
                <w:r>
                  <w:rPr>
                    <w:sz w:val="10"/>
                    <w:szCs w:val="10"/>
                  </w:rPr>
                  <w:br/>
                  <w:t>Shinya Tamura, Hiromoto Harano</w:t>
                </w:r>
                <w:r>
                  <w:rPr>
                    <w:sz w:val="10"/>
                    <w:szCs w:val="10"/>
                  </w:rPr>
                  <w:br/>
                  <w:t>  </w:t>
                </w:r>
              </w:p>
            </w:tc>
            <w:tc>
              <w:tcPr>
                <w:tcW w:w="15" w:type="dxa"/>
                <w:tcBorders>
                  <w:left w:val="single" w:sz="6" w:space="0" w:color="000000"/>
                </w:tcBorders>
                <w:shd w:val="clear" w:color="auto" w:fill="FFFFFF"/>
                <w:vAlign w:val="center"/>
                <w:hideMark/>
              </w:tcPr>
              <w:p w14:paraId="7B591F83" w14:textId="77777777" w:rsidR="00D943DE" w:rsidRDefault="002150ED">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251AD403" w14:textId="77777777" w:rsidR="00D943DE" w:rsidRDefault="002150ED">
                <w:pPr>
                  <w:rPr>
                    <w:sz w:val="10"/>
                    <w:szCs w:val="10"/>
                  </w:rPr>
                </w:pPr>
                <w:r>
                  <w:rPr>
                    <w:sz w:val="10"/>
                    <w:szCs w:val="10"/>
                  </w:rPr>
                  <w:t> </w:t>
                </w:r>
              </w:p>
            </w:tc>
            <w:tc>
              <w:tcPr>
                <w:tcW w:w="850" w:type="pct"/>
                <w:vAlign w:val="center"/>
                <w:hideMark/>
              </w:tcPr>
              <w:p w14:paraId="11442E77" w14:textId="77777777" w:rsidR="00D943DE" w:rsidRPr="002150ED" w:rsidRDefault="002150ED">
                <w:pPr>
                  <w:rPr>
                    <w:sz w:val="10"/>
                    <w:szCs w:val="10"/>
                    <w:lang w:val="es-ES"/>
                  </w:rPr>
                </w:pPr>
                <w:r w:rsidRPr="002150ED">
                  <w:rPr>
                    <w:sz w:val="10"/>
                    <w:szCs w:val="10"/>
                    <w:lang w:val="es-ES"/>
                  </w:rPr>
                  <w:t>WEEE-Reg.-Nr. DE 88787165</w:t>
                </w:r>
                <w:r w:rsidRPr="002150ED">
                  <w:rPr>
                    <w:sz w:val="10"/>
                    <w:szCs w:val="10"/>
                    <w:lang w:val="es-ES"/>
                  </w:rPr>
                  <w:br/>
                  <w:t>USTID-NR: DE258501442</w:t>
                </w:r>
                <w:r w:rsidRPr="002150ED">
                  <w:rPr>
                    <w:sz w:val="10"/>
                    <w:szCs w:val="10"/>
                    <w:lang w:val="es-ES"/>
                  </w:rPr>
                  <w:br/>
                  <w:t>ST-NR: 106/5727/1323</w:t>
                </w:r>
                <w:r w:rsidRPr="002150ED">
                  <w:rPr>
                    <w:sz w:val="10"/>
                    <w:szCs w:val="10"/>
                    <w:lang w:val="es-ES"/>
                  </w:rPr>
                  <w:br/>
                  <w:t>  </w:t>
                </w:r>
              </w:p>
            </w:tc>
            <w:tc>
              <w:tcPr>
                <w:tcW w:w="28" w:type="dxa"/>
                <w:vAlign w:val="center"/>
                <w:hideMark/>
              </w:tcPr>
              <w:p w14:paraId="7FB7479E" w14:textId="77777777" w:rsidR="00D943DE" w:rsidRPr="002150ED" w:rsidRDefault="002150ED">
                <w:pPr>
                  <w:rPr>
                    <w:sz w:val="10"/>
                    <w:szCs w:val="10"/>
                    <w:lang w:val="es-ES"/>
                  </w:rPr>
                </w:pPr>
                <w:r w:rsidRPr="002150ED">
                  <w:rPr>
                    <w:sz w:val="10"/>
                    <w:szCs w:val="10"/>
                    <w:lang w:val="es-ES"/>
                  </w:rPr>
                  <w:t> </w:t>
                </w:r>
              </w:p>
            </w:tc>
          </w:tr>
        </w:tbl>
        <w:p w14:paraId="7AC6A30C" w14:textId="77777777" w:rsidR="00D943DE" w:rsidRPr="002150ED" w:rsidRDefault="00D943DE">
          <w:pPr>
            <w:rPr>
              <w:sz w:val="10"/>
              <w:szCs w:val="10"/>
              <w:lang w:val="es-ES"/>
            </w:rPr>
          </w:pPr>
        </w:p>
      </w:tc>
      <w:tc>
        <w:tcPr>
          <w:tcW w:w="100" w:type="pct"/>
          <w:tcBorders>
            <w:top w:val="nil"/>
            <w:left w:val="nil"/>
            <w:bottom w:val="nil"/>
            <w:right w:val="nil"/>
          </w:tcBorders>
          <w:shd w:val="clear" w:color="auto" w:fill="auto"/>
          <w:tcMar>
            <w:top w:w="0" w:type="dxa"/>
            <w:left w:w="0" w:type="dxa"/>
            <w:bottom w:w="0" w:type="dxa"/>
            <w:right w:w="0" w:type="dxa"/>
          </w:tcMar>
          <w:vAlign w:val="bottom"/>
        </w:tcPr>
        <w:p w14:paraId="316A0523" w14:textId="77777777" w:rsidR="00D943DE" w:rsidRDefault="002150ED">
          <w:pPr>
            <w:rPr>
              <w:sz w:val="10"/>
              <w:szCs w:val="10"/>
            </w:rPr>
          </w:pPr>
          <w:r>
            <w:rPr>
              <w:sz w:val="10"/>
              <w:szCs w:val="10"/>
            </w:rPr>
            <w:fldChar w:fldCharType="begin"/>
          </w:r>
          <w:r>
            <w:rPr>
              <w:sz w:val="10"/>
              <w:szCs w:val="10"/>
            </w:rPr>
            <w:instrText>PAGE \* ARABIC</w:instrText>
          </w:r>
          <w:r>
            <w:rPr>
              <w:sz w:val="10"/>
              <w:szCs w:val="10"/>
            </w:rPr>
            <w:fldChar w:fldCharType="separate"/>
          </w:r>
          <w:r>
            <w:rPr>
              <w:sz w:val="10"/>
              <w:szCs w:val="10"/>
            </w:rPr>
            <w:t>#</w:t>
          </w:r>
          <w:r>
            <w:rPr>
              <w:sz w:val="10"/>
              <w:szCs w:val="10"/>
            </w:rPr>
            <w:fldChar w:fldCharType="end"/>
          </w:r>
        </w:p>
      </w:tc>
    </w:tr>
  </w:tbl>
  <w:p w14:paraId="6AE958A3" w14:textId="77777777" w:rsidR="00D943DE" w:rsidRDefault="00D943DE">
    <w:pPr>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leEinfach1"/>
      <w:tblW w:w="5000" w:type="pct"/>
      <w:tblLayout w:type="fixed"/>
      <w:tblCellMar>
        <w:left w:w="0" w:type="dxa"/>
        <w:right w:w="0" w:type="dxa"/>
      </w:tblCellMar>
      <w:tblLook w:val="04A0" w:firstRow="1" w:lastRow="0" w:firstColumn="1" w:lastColumn="0" w:noHBand="0" w:noVBand="1"/>
    </w:tblPr>
    <w:tblGrid>
      <w:gridCol w:w="9557"/>
      <w:gridCol w:w="195"/>
    </w:tblGrid>
    <w:tr w:rsidR="00D943DE" w:rsidRPr="008873B6" w14:paraId="6F508DC6" w14:textId="77777777">
      <w:tc>
        <w:tcPr>
          <w:tcW w:w="4900" w:type="pct"/>
          <w:tcBorders>
            <w:top w:val="nil"/>
            <w:left w:val="nil"/>
            <w:bottom w:val="nil"/>
            <w:right w:val="nil"/>
          </w:tcBorders>
          <w:shd w:val="clear" w:color="auto" w:fill="auto"/>
          <w:tcMar>
            <w:top w:w="0" w:type="dxa"/>
            <w:left w:w="0" w:type="dxa"/>
            <w:bottom w:w="0" w:type="dxa"/>
            <w:right w:w="0" w:type="dxa"/>
          </w:tcMar>
          <w:vAlign w:val="bottom"/>
        </w:tcPr>
        <w:tbl>
          <w:tblPr>
            <w:tblW w:w="5000" w:type="pct"/>
            <w:tblCellSpacing w:w="0" w:type="dxa"/>
            <w:tblBorders>
              <w:top w:val="nil"/>
              <w:left w:val="nil"/>
              <w:bottom w:val="nil"/>
              <w:right w:val="nil"/>
            </w:tblBorders>
            <w:tblLayout w:type="fixed"/>
            <w:tblCellMar>
              <w:left w:w="0" w:type="dxa"/>
              <w:right w:w="0" w:type="dxa"/>
            </w:tblCellMar>
            <w:tblLook w:val="04A0" w:firstRow="1" w:lastRow="0" w:firstColumn="1" w:lastColumn="0" w:noHBand="0" w:noVBand="1"/>
          </w:tblPr>
          <w:tblGrid>
            <w:gridCol w:w="35"/>
            <w:gridCol w:w="93"/>
            <w:gridCol w:w="1590"/>
            <w:gridCol w:w="35"/>
            <w:gridCol w:w="93"/>
            <w:gridCol w:w="1590"/>
            <w:gridCol w:w="35"/>
            <w:gridCol w:w="93"/>
            <w:gridCol w:w="2151"/>
            <w:gridCol w:w="35"/>
            <w:gridCol w:w="94"/>
            <w:gridCol w:w="1965"/>
            <w:gridCol w:w="35"/>
            <w:gridCol w:w="94"/>
            <w:gridCol w:w="1591"/>
            <w:gridCol w:w="20"/>
          </w:tblGrid>
          <w:tr w:rsidR="00D943DE" w:rsidRPr="008873B6" w14:paraId="1CC9CCA6" w14:textId="77777777">
            <w:trPr>
              <w:tblCellSpacing w:w="0" w:type="dxa"/>
            </w:trPr>
            <w:tc>
              <w:tcPr>
                <w:tcW w:w="15" w:type="dxa"/>
                <w:tcBorders>
                  <w:left w:val="single" w:sz="6" w:space="0" w:color="000000"/>
                </w:tcBorders>
                <w:shd w:val="clear" w:color="auto" w:fill="FFFFFF"/>
                <w:vAlign w:val="center"/>
                <w:hideMark/>
              </w:tcPr>
              <w:p w14:paraId="42DC8E71" w14:textId="77777777" w:rsidR="00D943DE" w:rsidRDefault="002150ED">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225167CF" w14:textId="77777777" w:rsidR="00D943DE" w:rsidRDefault="002150ED">
                <w:pPr>
                  <w:rPr>
                    <w:sz w:val="10"/>
                    <w:szCs w:val="10"/>
                  </w:rPr>
                </w:pPr>
                <w:r>
                  <w:rPr>
                    <w:sz w:val="10"/>
                    <w:szCs w:val="10"/>
                  </w:rPr>
                  <w:t> </w:t>
                </w:r>
              </w:p>
            </w:tc>
            <w:tc>
              <w:tcPr>
                <w:tcW w:w="850" w:type="pct"/>
                <w:vAlign w:val="center"/>
                <w:hideMark/>
              </w:tcPr>
              <w:p w14:paraId="2808331D" w14:textId="77777777" w:rsidR="00D943DE" w:rsidRDefault="002150ED">
                <w:pPr>
                  <w:rPr>
                    <w:sz w:val="10"/>
                    <w:szCs w:val="10"/>
                  </w:rPr>
                </w:pPr>
                <w:r>
                  <w:rPr>
                    <w:b/>
                    <w:sz w:val="10"/>
                    <w:szCs w:val="10"/>
                  </w:rPr>
                  <w:t>TOTO Europe GmbH</w:t>
                </w:r>
                <w:r>
                  <w:rPr>
                    <w:b/>
                    <w:sz w:val="10"/>
                    <w:szCs w:val="10"/>
                  </w:rPr>
                  <w:br/>
                </w:r>
                <w:r>
                  <w:rPr>
                    <w:sz w:val="10"/>
                    <w:szCs w:val="10"/>
                  </w:rPr>
                  <w:t>Zollhof 2</w:t>
                </w:r>
                <w:r>
                  <w:rPr>
                    <w:sz w:val="10"/>
                    <w:szCs w:val="10"/>
                  </w:rPr>
                  <w:br/>
                  <w:t>40221 Düsseldorf</w:t>
                </w:r>
                <w:r>
                  <w:rPr>
                    <w:sz w:val="10"/>
                    <w:szCs w:val="10"/>
                  </w:rPr>
                  <w:br/>
                  <w:t>Germany</w:t>
                </w:r>
              </w:p>
            </w:tc>
            <w:tc>
              <w:tcPr>
                <w:tcW w:w="15" w:type="dxa"/>
                <w:tcBorders>
                  <w:left w:val="single" w:sz="6" w:space="0" w:color="000000"/>
                </w:tcBorders>
                <w:shd w:val="clear" w:color="auto" w:fill="FFFFFF"/>
                <w:vAlign w:val="center"/>
                <w:hideMark/>
              </w:tcPr>
              <w:p w14:paraId="5D9D9AE0" w14:textId="77777777" w:rsidR="00D943DE" w:rsidRDefault="002150ED">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024B7E30" w14:textId="77777777" w:rsidR="00D943DE" w:rsidRDefault="002150ED">
                <w:pPr>
                  <w:rPr>
                    <w:sz w:val="10"/>
                    <w:szCs w:val="10"/>
                  </w:rPr>
                </w:pPr>
                <w:r>
                  <w:rPr>
                    <w:sz w:val="10"/>
                    <w:szCs w:val="10"/>
                  </w:rPr>
                  <w:t> </w:t>
                </w:r>
              </w:p>
            </w:tc>
            <w:tc>
              <w:tcPr>
                <w:tcW w:w="850" w:type="pct"/>
                <w:vAlign w:val="center"/>
                <w:hideMark/>
              </w:tcPr>
              <w:p w14:paraId="25349FC0" w14:textId="77777777" w:rsidR="00D943DE" w:rsidRDefault="002150ED">
                <w:pPr>
                  <w:rPr>
                    <w:sz w:val="10"/>
                    <w:szCs w:val="10"/>
                  </w:rPr>
                </w:pPr>
                <w:r>
                  <w:rPr>
                    <w:sz w:val="10"/>
                    <w:szCs w:val="10"/>
                  </w:rPr>
                  <w:t>T +49 (0)211 2 73 08-200</w:t>
                </w:r>
                <w:r>
                  <w:rPr>
                    <w:sz w:val="10"/>
                    <w:szCs w:val="10"/>
                  </w:rPr>
                  <w:br/>
                  <w:t>F +49 (0)211 2 73 08-202</w:t>
                </w:r>
                <w:r>
                  <w:rPr>
                    <w:sz w:val="10"/>
                    <w:szCs w:val="10"/>
                  </w:rPr>
                  <w:br/>
                  <w:t>teu.info@toto.com</w:t>
                </w:r>
                <w:r>
                  <w:rPr>
                    <w:sz w:val="10"/>
                    <w:szCs w:val="10"/>
                  </w:rPr>
                  <w:br/>
                  <w:t>eu.toto.com</w:t>
                </w:r>
              </w:p>
            </w:tc>
            <w:tc>
              <w:tcPr>
                <w:tcW w:w="15" w:type="dxa"/>
                <w:tcBorders>
                  <w:left w:val="single" w:sz="6" w:space="0" w:color="000000"/>
                </w:tcBorders>
                <w:shd w:val="clear" w:color="auto" w:fill="FFFFFF"/>
                <w:vAlign w:val="center"/>
                <w:hideMark/>
              </w:tcPr>
              <w:p w14:paraId="6EE157F3" w14:textId="77777777" w:rsidR="00D943DE" w:rsidRDefault="002150ED">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55F7F5E5" w14:textId="77777777" w:rsidR="00D943DE" w:rsidRDefault="002150ED">
                <w:pPr>
                  <w:rPr>
                    <w:sz w:val="10"/>
                    <w:szCs w:val="10"/>
                  </w:rPr>
                </w:pPr>
                <w:r>
                  <w:rPr>
                    <w:sz w:val="10"/>
                    <w:szCs w:val="10"/>
                  </w:rPr>
                  <w:t> </w:t>
                </w:r>
              </w:p>
            </w:tc>
            <w:tc>
              <w:tcPr>
                <w:tcW w:w="1150" w:type="pct"/>
                <w:vAlign w:val="center"/>
                <w:hideMark/>
              </w:tcPr>
              <w:p w14:paraId="24A12C55" w14:textId="77777777" w:rsidR="00D943DE" w:rsidRDefault="002150ED">
                <w:pPr>
                  <w:rPr>
                    <w:sz w:val="10"/>
                    <w:szCs w:val="10"/>
                  </w:rPr>
                </w:pPr>
                <w:r>
                  <w:rPr>
                    <w:sz w:val="10"/>
                    <w:szCs w:val="10"/>
                  </w:rPr>
                  <w:t>Commerzbank AG Essen</w:t>
                </w:r>
                <w:r>
                  <w:rPr>
                    <w:sz w:val="10"/>
                    <w:szCs w:val="10"/>
                  </w:rPr>
                  <w:br/>
                  <w:t>BLZ: 360 400 39 . KTO: 150 6211</w:t>
                </w:r>
                <w:r>
                  <w:rPr>
                    <w:sz w:val="10"/>
                    <w:szCs w:val="10"/>
                  </w:rPr>
                  <w:br/>
                  <w:t>IBAN: DE 32 36040039 0150621100</w:t>
                </w:r>
                <w:r>
                  <w:rPr>
                    <w:sz w:val="10"/>
                    <w:szCs w:val="10"/>
                  </w:rPr>
                  <w:br/>
                  <w:t>BIC: COBADEFF360</w:t>
                </w:r>
              </w:p>
            </w:tc>
            <w:tc>
              <w:tcPr>
                <w:tcW w:w="15" w:type="dxa"/>
                <w:tcBorders>
                  <w:left w:val="single" w:sz="6" w:space="0" w:color="000000"/>
                </w:tcBorders>
                <w:shd w:val="clear" w:color="auto" w:fill="FFFFFF"/>
                <w:vAlign w:val="center"/>
                <w:hideMark/>
              </w:tcPr>
              <w:p w14:paraId="562E800F" w14:textId="77777777" w:rsidR="00D943DE" w:rsidRDefault="002150ED">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50F3AEB8" w14:textId="77777777" w:rsidR="00D943DE" w:rsidRDefault="002150ED">
                <w:pPr>
                  <w:rPr>
                    <w:sz w:val="10"/>
                    <w:szCs w:val="10"/>
                  </w:rPr>
                </w:pPr>
                <w:r>
                  <w:rPr>
                    <w:sz w:val="10"/>
                    <w:szCs w:val="10"/>
                  </w:rPr>
                  <w:t> </w:t>
                </w:r>
              </w:p>
            </w:tc>
            <w:tc>
              <w:tcPr>
                <w:tcW w:w="1050" w:type="pct"/>
                <w:vAlign w:val="center"/>
                <w:hideMark/>
              </w:tcPr>
              <w:p w14:paraId="2F829892" w14:textId="77777777" w:rsidR="00D943DE" w:rsidRDefault="002150ED">
                <w:pPr>
                  <w:rPr>
                    <w:sz w:val="10"/>
                    <w:szCs w:val="10"/>
                  </w:rPr>
                </w:pPr>
                <w:r>
                  <w:rPr>
                    <w:sz w:val="10"/>
                    <w:szCs w:val="10"/>
                  </w:rPr>
                  <w:t>AG Düsseldorf . HRB 24827</w:t>
                </w:r>
                <w:r>
                  <w:rPr>
                    <w:sz w:val="10"/>
                    <w:szCs w:val="10"/>
                  </w:rPr>
                  <w:br/>
                  <w:t>Managing Directors:</w:t>
                </w:r>
                <w:r>
                  <w:rPr>
                    <w:sz w:val="10"/>
                    <w:szCs w:val="10"/>
                  </w:rPr>
                  <w:br/>
                  <w:t>Shinya Tamura, Hiromoto Harano</w:t>
                </w:r>
                <w:r>
                  <w:rPr>
                    <w:sz w:val="10"/>
                    <w:szCs w:val="10"/>
                  </w:rPr>
                  <w:br/>
                  <w:t>  </w:t>
                </w:r>
              </w:p>
            </w:tc>
            <w:tc>
              <w:tcPr>
                <w:tcW w:w="15" w:type="dxa"/>
                <w:tcBorders>
                  <w:left w:val="single" w:sz="6" w:space="0" w:color="000000"/>
                </w:tcBorders>
                <w:shd w:val="clear" w:color="auto" w:fill="FFFFFF"/>
                <w:vAlign w:val="center"/>
                <w:hideMark/>
              </w:tcPr>
              <w:p w14:paraId="4023D6B5" w14:textId="77777777" w:rsidR="00D943DE" w:rsidRDefault="002150ED">
                <w:pPr>
                  <w:shd w:val="clear" w:color="auto" w:fill="FFFFFF"/>
                  <w:rPr>
                    <w:sz w:val="10"/>
                    <w:szCs w:val="10"/>
                    <w:shd w:val="clear" w:color="auto" w:fill="FFFFFF"/>
                  </w:rPr>
                </w:pPr>
                <w:r>
                  <w:rPr>
                    <w:sz w:val="10"/>
                    <w:szCs w:val="10"/>
                    <w:shd w:val="clear" w:color="auto" w:fill="FFFFFF"/>
                  </w:rPr>
                  <w:t> </w:t>
                </w:r>
              </w:p>
            </w:tc>
            <w:tc>
              <w:tcPr>
                <w:tcW w:w="50" w:type="pct"/>
                <w:vAlign w:val="center"/>
                <w:hideMark/>
              </w:tcPr>
              <w:p w14:paraId="39F0A40A" w14:textId="77777777" w:rsidR="00D943DE" w:rsidRDefault="002150ED">
                <w:pPr>
                  <w:rPr>
                    <w:sz w:val="10"/>
                    <w:szCs w:val="10"/>
                  </w:rPr>
                </w:pPr>
                <w:r>
                  <w:rPr>
                    <w:sz w:val="10"/>
                    <w:szCs w:val="10"/>
                  </w:rPr>
                  <w:t> </w:t>
                </w:r>
              </w:p>
            </w:tc>
            <w:tc>
              <w:tcPr>
                <w:tcW w:w="850" w:type="pct"/>
                <w:vAlign w:val="center"/>
                <w:hideMark/>
              </w:tcPr>
              <w:p w14:paraId="5FD1D5A5" w14:textId="77777777" w:rsidR="00D943DE" w:rsidRPr="002150ED" w:rsidRDefault="002150ED">
                <w:pPr>
                  <w:rPr>
                    <w:sz w:val="10"/>
                    <w:szCs w:val="10"/>
                    <w:lang w:val="es-ES"/>
                  </w:rPr>
                </w:pPr>
                <w:r w:rsidRPr="002150ED">
                  <w:rPr>
                    <w:sz w:val="10"/>
                    <w:szCs w:val="10"/>
                    <w:lang w:val="es-ES"/>
                  </w:rPr>
                  <w:t>WEEE-Reg.-Nr. DE 88787165</w:t>
                </w:r>
                <w:r w:rsidRPr="002150ED">
                  <w:rPr>
                    <w:sz w:val="10"/>
                    <w:szCs w:val="10"/>
                    <w:lang w:val="es-ES"/>
                  </w:rPr>
                  <w:br/>
                  <w:t>USTID-NR: DE258501442</w:t>
                </w:r>
                <w:r w:rsidRPr="002150ED">
                  <w:rPr>
                    <w:sz w:val="10"/>
                    <w:szCs w:val="10"/>
                    <w:lang w:val="es-ES"/>
                  </w:rPr>
                  <w:br/>
                  <w:t>ST-NR: 106/5727/1323</w:t>
                </w:r>
                <w:r w:rsidRPr="002150ED">
                  <w:rPr>
                    <w:sz w:val="10"/>
                    <w:szCs w:val="10"/>
                    <w:lang w:val="es-ES"/>
                  </w:rPr>
                  <w:br/>
                  <w:t>  </w:t>
                </w:r>
              </w:p>
            </w:tc>
            <w:tc>
              <w:tcPr>
                <w:tcW w:w="28" w:type="dxa"/>
                <w:vAlign w:val="center"/>
                <w:hideMark/>
              </w:tcPr>
              <w:p w14:paraId="0FFDF5C2" w14:textId="77777777" w:rsidR="00D943DE" w:rsidRPr="002150ED" w:rsidRDefault="002150ED">
                <w:pPr>
                  <w:rPr>
                    <w:sz w:val="10"/>
                    <w:szCs w:val="10"/>
                    <w:lang w:val="es-ES"/>
                  </w:rPr>
                </w:pPr>
                <w:r w:rsidRPr="002150ED">
                  <w:rPr>
                    <w:sz w:val="10"/>
                    <w:szCs w:val="10"/>
                    <w:lang w:val="es-ES"/>
                  </w:rPr>
                  <w:t> </w:t>
                </w:r>
              </w:p>
            </w:tc>
          </w:tr>
        </w:tbl>
        <w:p w14:paraId="04BCC67D" w14:textId="77777777" w:rsidR="00D943DE" w:rsidRPr="002150ED" w:rsidRDefault="00D943DE">
          <w:pPr>
            <w:rPr>
              <w:sz w:val="10"/>
              <w:szCs w:val="10"/>
              <w:lang w:val="es-ES"/>
            </w:rPr>
          </w:pPr>
        </w:p>
      </w:tc>
      <w:tc>
        <w:tcPr>
          <w:tcW w:w="100" w:type="pct"/>
          <w:tcBorders>
            <w:top w:val="nil"/>
            <w:left w:val="nil"/>
            <w:bottom w:val="nil"/>
            <w:right w:val="nil"/>
          </w:tcBorders>
          <w:shd w:val="clear" w:color="auto" w:fill="auto"/>
          <w:tcMar>
            <w:top w:w="0" w:type="dxa"/>
            <w:left w:w="0" w:type="dxa"/>
            <w:bottom w:w="0" w:type="dxa"/>
            <w:right w:w="0" w:type="dxa"/>
          </w:tcMar>
          <w:vAlign w:val="bottom"/>
        </w:tcPr>
        <w:p w14:paraId="59175624" w14:textId="77777777" w:rsidR="00D943DE" w:rsidRPr="002150ED" w:rsidRDefault="00D943DE">
          <w:pPr>
            <w:rPr>
              <w:sz w:val="10"/>
              <w:szCs w:val="10"/>
              <w:lang w:val="es-ES"/>
            </w:rPr>
          </w:pPr>
        </w:p>
      </w:tc>
    </w:tr>
  </w:tbl>
  <w:p w14:paraId="005BD7F3" w14:textId="77777777" w:rsidR="00D943DE" w:rsidRPr="002150ED" w:rsidRDefault="00D943DE">
    <w:pPr>
      <w:rPr>
        <w:sz w:val="2"/>
        <w:szCs w:val="2"/>
        <w:lang w:val="es-ES"/>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789BD8" w14:textId="77777777" w:rsidR="002150ED" w:rsidRDefault="002150ED">
      <w:pPr>
        <w:spacing w:line="240" w:lineRule="auto"/>
      </w:pPr>
      <w:r>
        <w:separator/>
      </w:r>
    </w:p>
  </w:footnote>
  <w:footnote w:type="continuationSeparator" w:id="0">
    <w:p w14:paraId="7DADA61B" w14:textId="77777777" w:rsidR="002150ED" w:rsidRDefault="002150ED">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DA580F" w14:textId="77777777" w:rsidR="00D943DE" w:rsidRDefault="002150ED">
    <w:r>
      <w:rPr>
        <w:noProof/>
      </w:rPr>
      <w:drawing>
        <wp:anchor distT="0" distB="0" distL="114300" distR="114300" simplePos="0" relativeHeight="251659264" behindDoc="0" locked="0" layoutInCell="0" allowOverlap="0" wp14:anchorId="3FD099DB" wp14:editId="40AB33E3">
          <wp:simplePos x="0" y="0"/>
          <wp:positionH relativeFrom="page">
            <wp:posOffset>5723890</wp:posOffset>
          </wp:positionH>
          <wp:positionV relativeFrom="page">
            <wp:posOffset>396240</wp:posOffset>
          </wp:positionV>
          <wp:extent cx="1368425" cy="318135"/>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dpi="0">
                  <a:blip r:embed="rId1"/>
                  <a:srcRect/>
                  <a:stretch>
                    <a:fillRect/>
                  </a:stretch>
                </pic:blipFill>
                <pic:spPr>
                  <a:xfrm>
                    <a:off x="0" y="0"/>
                    <a:ext cx="1368425" cy="318135"/>
                  </a:xfrm>
                  <a:prstGeom prst="rect">
                    <a:avLst/>
                  </a:prstGeom>
                </pic:spPr>
              </pic:pic>
            </a:graphicData>
          </a:graphic>
        </wp:anchor>
      </w:drawing>
    </w:r>
    <w:r>
      <w:rPr>
        <w:rFonts w:eastAsia="Arial"/>
        <w:b/>
        <w:sz w:val="24"/>
        <w:szCs w:val="24"/>
      </w:rPr>
      <w:t>Press Information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81D215" w14:textId="77777777" w:rsidR="00D943DE" w:rsidRDefault="002150ED">
    <w:pPr>
      <w:rPr>
        <w:color w:val="343434"/>
      </w:rPr>
    </w:pPr>
    <w:r>
      <w:rPr>
        <w:noProof/>
        <w:color w:val="343434"/>
      </w:rPr>
      <w:drawing>
        <wp:anchor distT="0" distB="0" distL="114300" distR="114300" simplePos="0" relativeHeight="251658240" behindDoc="0" locked="0" layoutInCell="0" allowOverlap="0" wp14:anchorId="02F25054" wp14:editId="25005739">
          <wp:simplePos x="0" y="0"/>
          <wp:positionH relativeFrom="page">
            <wp:posOffset>5544185</wp:posOffset>
          </wp:positionH>
          <wp:positionV relativeFrom="page">
            <wp:posOffset>396240</wp:posOffset>
          </wp:positionV>
          <wp:extent cx="1368425" cy="318135"/>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dpi="0">
                  <a:blip r:embed="rId1"/>
                  <a:srcRect/>
                  <a:stretch>
                    <a:fillRect/>
                  </a:stretch>
                </pic:blipFill>
                <pic:spPr>
                  <a:xfrm>
                    <a:off x="0" y="0"/>
                    <a:ext cx="1368425" cy="318135"/>
                  </a:xfrm>
                  <a:prstGeom prst="rect">
                    <a:avLst/>
                  </a:prstGeom>
                </pic:spPr>
              </pic:pic>
            </a:graphicData>
          </a:graphic>
        </wp:anchor>
      </w:drawing>
    </w:r>
    <w:r>
      <w:rPr>
        <w:rFonts w:eastAsia="Arial"/>
        <w:b/>
        <w:color w:val="343434"/>
        <w:sz w:val="24"/>
        <w:szCs w:val="24"/>
      </w:rPr>
      <w:t>Press Information</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compressPunctuation"/>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43DE"/>
    <w:rsid w:val="002150ED"/>
    <w:rsid w:val="008873B6"/>
    <w:rsid w:val="00D943DE"/>
    <w:rsid w:val="00E51FA4"/>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E0845A"/>
  <w15:docId w15:val="{36220A02-68B2-445D-A456-CFDF3052B7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EastAsia" w:hAnsi="Arial" w:cs="Arial"/>
        <w:color w:val="000000"/>
        <w:sz w:val="22"/>
        <w:szCs w:val="22"/>
        <w:lang w:val="de-DE" w:eastAsia="de-DE" w:bidi="ar-SA"/>
      </w:rPr>
    </w:rPrDefault>
    <w:pPrDefault>
      <w:pPr>
        <w:spacing w:line="28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Zeilennummer">
    <w:name w:val="line number"/>
    <w:basedOn w:val="Absatz-Standardschriftart"/>
    <w:semiHidden/>
  </w:style>
  <w:style w:type="character" w:styleId="Hyperlink">
    <w:name w:val="Hyperlink"/>
    <w:rPr>
      <w:color w:val="0000FF"/>
      <w:u w:val="single"/>
    </w:rPr>
  </w:style>
  <w:style w:type="table" w:styleId="TabelleEinfach1">
    <w:name w:val="Table Simple 1"/>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yperlink" Target="https://pressrelease.bering-kopal.de/de/pressrelease/toto-europe_the-tokyo-toilet-project-update-2021-6cd9e6b6-635f-47e7-a1a8-38cfc58638d8" TargetMode="External"/><Relationship Id="rId13" Type="http://schemas.openxmlformats.org/officeDocument/2006/relationships/image" Target="media/image3.jpg"/><Relationship Id="rId18" Type="http://schemas.openxmlformats.org/officeDocument/2006/relationships/image" Target="media/image8.jpg"/><Relationship Id="rId26" Type="http://schemas.openxmlformats.org/officeDocument/2006/relationships/image" Target="media/image16.jpg"/><Relationship Id="rId3" Type="http://schemas.openxmlformats.org/officeDocument/2006/relationships/webSettings" Target="webSettings.xml"/><Relationship Id="rId21" Type="http://schemas.openxmlformats.org/officeDocument/2006/relationships/image" Target="media/image11.jpg"/><Relationship Id="rId34" Type="http://schemas.openxmlformats.org/officeDocument/2006/relationships/footer" Target="footer2.xml"/><Relationship Id="rId7" Type="http://schemas.openxmlformats.org/officeDocument/2006/relationships/hyperlink" Target="https://pressrelease.bering-kopal.de/de/pressrelease/toto-europe_perfect-days" TargetMode="Externa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image" Target="media/image15.jpg"/><Relationship Id="rId33" Type="http://schemas.openxmlformats.org/officeDocument/2006/relationships/header" Target="header2.xml"/><Relationship Id="rId2" Type="http://schemas.openxmlformats.org/officeDocument/2006/relationships/settings" Target="settings.xml"/><Relationship Id="rId16" Type="http://schemas.openxmlformats.org/officeDocument/2006/relationships/image" Target="media/image6.jpg"/><Relationship Id="rId20" Type="http://schemas.openxmlformats.org/officeDocument/2006/relationships/image" Target="media/image10.jpg"/><Relationship Id="rId29" Type="http://schemas.openxmlformats.org/officeDocument/2006/relationships/hyperlink" Target="https://pressrelease.bering-kopal.de/cms/de.toto.com" TargetMode="External"/><Relationship Id="rId1" Type="http://schemas.openxmlformats.org/officeDocument/2006/relationships/styles" Target="styles.xml"/><Relationship Id="rId6" Type="http://schemas.openxmlformats.org/officeDocument/2006/relationships/image" Target="media/image1.jpg"/><Relationship Id="rId11" Type="http://schemas.openxmlformats.org/officeDocument/2006/relationships/hyperlink" Target="https://eu.toto.com/de" TargetMode="External"/><Relationship Id="rId24" Type="http://schemas.openxmlformats.org/officeDocument/2006/relationships/image" Target="media/image14.jpg"/><Relationship Id="rId32" Type="http://schemas.openxmlformats.org/officeDocument/2006/relationships/footer" Target="footer1.xml"/><Relationship Id="rId5" Type="http://schemas.openxmlformats.org/officeDocument/2006/relationships/endnotes" Target="endnotes.xml"/><Relationship Id="rId15" Type="http://schemas.openxmlformats.org/officeDocument/2006/relationships/image" Target="media/image5.jpg"/><Relationship Id="rId23" Type="http://schemas.openxmlformats.org/officeDocument/2006/relationships/image" Target="media/image13.jpg"/><Relationship Id="rId28" Type="http://schemas.openxmlformats.org/officeDocument/2006/relationships/hyperlink" Target="https://sciencebasedtargets.org/about-us" TargetMode="External"/><Relationship Id="rId36" Type="http://schemas.openxmlformats.org/officeDocument/2006/relationships/theme" Target="theme/theme1.xml"/><Relationship Id="rId10" Type="http://schemas.openxmlformats.org/officeDocument/2006/relationships/hyperlink" Target="https://tokyotoilet.jp/en/" TargetMode="External"/><Relationship Id="rId19" Type="http://schemas.openxmlformats.org/officeDocument/2006/relationships/image" Target="media/image9.jpg"/><Relationship Id="rId31" Type="http://schemas.openxmlformats.org/officeDocument/2006/relationships/header" Target="header1.xml"/><Relationship Id="rId4" Type="http://schemas.openxmlformats.org/officeDocument/2006/relationships/footnotes" Target="footnotes.xml"/><Relationship Id="rId9" Type="http://schemas.openxmlformats.org/officeDocument/2006/relationships/hyperlink" Target="https://pressrelease.bering-kopal.de/de/pressrelease/toto-europe_the-tokyo-toilet-1a63b331-8a95-46a0-9fc3-abe19ced7974" TargetMode="External"/><Relationship Id="rId14" Type="http://schemas.openxmlformats.org/officeDocument/2006/relationships/image" Target="media/image4.jpg"/><Relationship Id="rId22" Type="http://schemas.openxmlformats.org/officeDocument/2006/relationships/image" Target="media/image12.jpg"/><Relationship Id="rId27" Type="http://schemas.openxmlformats.org/officeDocument/2006/relationships/image" Target="media/image17.jpg"/><Relationship Id="rId30" Type="http://schemas.openxmlformats.org/officeDocument/2006/relationships/image" Target="media/image18.png"/><Relationship Id="rId35"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9.jpg"/></Relationships>
</file>

<file path=word/_rels/header2.xml.rels><?xml version="1.0" encoding="UTF-8" standalone="yes"?>
<Relationships xmlns="http://schemas.openxmlformats.org/package/2006/relationships"><Relationship Id="rId1" Type="http://schemas.openxmlformats.org/officeDocument/2006/relationships/image" Target="media/image1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tileRect/>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tileRect/>
        </a:gradFill>
      </a:fillStyleLst>
      <a:lnStyleLst>
        <a:ln w="9525" cmpd="sng" algn="ctr">
          <a:solidFill>
            <a:schemeClr val="phClr">
              <a:shade val="95000"/>
              <a:satMod val="105000"/>
            </a:schemeClr>
          </a:solidFill>
          <a:prstDash val="solid"/>
        </a:ln>
        <a:ln w="25400" cmpd="sng" algn="ctr">
          <a:solidFill>
            <a:schemeClr val="phClr"/>
          </a:solidFill>
          <a:prstDash val="solid"/>
        </a:ln>
        <a:ln w="38100"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tileRect/>
        </a:gradFill>
        <a:gradFill rotWithShape="1">
          <a:gsLst>
            <a:gs pos="0">
              <a:schemeClr val="phClr">
                <a:tint val="80000"/>
                <a:satMod val="300000"/>
              </a:schemeClr>
            </a:gs>
            <a:gs pos="100000">
              <a:schemeClr val="phClr">
                <a:shade val="30000"/>
                <a:satMod val="200000"/>
              </a:schemeClr>
            </a:gs>
          </a:gsLst>
          <a:path path="circle">
            <a:fillToRect l="50000" t="50000" r="50000" b="50000"/>
          </a:path>
          <a:tileRect/>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8</Pages>
  <Words>1919</Words>
  <Characters>12095</Characters>
  <Application>Microsoft Office Word</Application>
  <DocSecurity>0</DocSecurity>
  <Lines>100</Lines>
  <Paragraphs>27</Paragraphs>
  <ScaleCrop>false</ScaleCrop>
  <Company/>
  <LinksUpToDate>false</LinksUpToDate>
  <CharactersWithSpaces>13987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dc:creator>
  <cp:lastModifiedBy>Thomas Kopal</cp:lastModifiedBy>
  <cp:revision>4</cp:revision>
  <cp:lastPrinted>2024-03-12T10:59:00Z</cp:lastPrinted>
  <dcterms:created xsi:type="dcterms:W3CDTF">2024-03-12T10:57:00Z</dcterms:created>
  <dcterms:modified xsi:type="dcterms:W3CDTF">2024-03-12T11:04:00Z</dcterms:modified>
</cp:coreProperties>
</file>