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C806B0" w14:textId="77777777" w:rsidR="003C0776" w:rsidRDefault="00000000">
      <w:pPr>
        <w:rPr>
          <w:b/>
          <w:bCs/>
          <w:sz w:val="32"/>
          <w:szCs w:val="32"/>
        </w:rPr>
      </w:pPr>
      <w:r>
        <w:rPr>
          <w:b/>
          <w:bCs/>
          <w:sz w:val="32"/>
          <w:szCs w:val="32"/>
        </w:rPr>
        <w:t>Upgrade – Vom WC zum WASHLET</w:t>
      </w:r>
    </w:p>
    <w:tbl>
      <w:tblPr>
        <w:tblStyle w:val="TabelleEinfach1"/>
        <w:tblW w:w="5000" w:type="pct"/>
        <w:tblLayout w:type="fixed"/>
        <w:tblCellMar>
          <w:left w:w="0" w:type="dxa"/>
          <w:right w:w="227" w:type="dxa"/>
        </w:tblCellMar>
        <w:tblLook w:val="04A0" w:firstRow="1" w:lastRow="0" w:firstColumn="1" w:lastColumn="0" w:noHBand="0" w:noVBand="1"/>
      </w:tblPr>
      <w:tblGrid>
        <w:gridCol w:w="3706"/>
        <w:gridCol w:w="3706"/>
        <w:gridCol w:w="2340"/>
      </w:tblGrid>
      <w:tr w:rsidR="003C0776" w14:paraId="40240225" w14:textId="77777777">
        <w:tc>
          <w:tcPr>
            <w:tcW w:w="3800" w:type="pct"/>
            <w:gridSpan w:val="2"/>
            <w:tcBorders>
              <w:top w:val="nil"/>
              <w:left w:val="nil"/>
              <w:bottom w:val="nil"/>
              <w:right w:val="nil"/>
            </w:tcBorders>
            <w:shd w:val="clear" w:color="auto" w:fill="auto"/>
            <w:tcMar>
              <w:top w:w="0" w:type="dxa"/>
              <w:left w:w="0" w:type="dxa"/>
              <w:bottom w:w="0" w:type="dxa"/>
              <w:right w:w="227" w:type="dxa"/>
            </w:tcMar>
          </w:tcPr>
          <w:p w14:paraId="4EB5350D" w14:textId="77777777" w:rsidR="003C0776" w:rsidRDefault="00000000">
            <w:r>
              <w:rPr>
                <w:rFonts w:eastAsia="Arial"/>
              </w:rPr>
              <w:t>Mit einer cleveren Detaillösung ermöglicht es TOTO, die Entscheidung für ein WC oder WASHLET zu jedem beliebigen Zeitpunkt zu treffen.</w:t>
            </w:r>
          </w:p>
        </w:tc>
        <w:tc>
          <w:tcPr>
            <w:tcW w:w="1200" w:type="pct"/>
            <w:tcBorders>
              <w:top w:val="nil"/>
              <w:left w:val="nil"/>
              <w:bottom w:val="nil"/>
              <w:right w:val="nil"/>
            </w:tcBorders>
            <w:shd w:val="clear" w:color="auto" w:fill="auto"/>
            <w:tcMar>
              <w:top w:w="0" w:type="dxa"/>
              <w:left w:w="0" w:type="dxa"/>
              <w:bottom w:w="0" w:type="dxa"/>
              <w:right w:w="227" w:type="dxa"/>
            </w:tcMar>
          </w:tcPr>
          <w:p w14:paraId="18C10686" w14:textId="77777777" w:rsidR="003C0776" w:rsidRDefault="003C0776"/>
        </w:tc>
      </w:tr>
      <w:tr w:rsidR="003C0776" w14:paraId="01DA6AD4" w14:textId="77777777">
        <w:trPr>
          <w:gridAfter w:val="1"/>
          <w:wAfter w:w="1728" w:type="dxa"/>
        </w:trPr>
        <w:tc>
          <w:tcPr>
            <w:tcW w:w="2736" w:type="dxa"/>
            <w:tcBorders>
              <w:top w:val="nil"/>
              <w:left w:val="nil"/>
              <w:bottom w:val="nil"/>
              <w:right w:val="nil"/>
            </w:tcBorders>
            <w:shd w:val="clear" w:color="auto" w:fill="auto"/>
            <w:tcMar>
              <w:top w:w="0" w:type="dxa"/>
              <w:left w:w="0" w:type="dxa"/>
              <w:bottom w:w="0" w:type="dxa"/>
              <w:right w:w="227" w:type="dxa"/>
            </w:tcMar>
          </w:tcPr>
          <w:p w14:paraId="40731983" w14:textId="77777777" w:rsidR="003C0776" w:rsidRDefault="003C0776"/>
        </w:tc>
        <w:tc>
          <w:tcPr>
            <w:tcW w:w="2736" w:type="dxa"/>
            <w:tcBorders>
              <w:top w:val="nil"/>
              <w:left w:val="nil"/>
              <w:bottom w:val="nil"/>
              <w:right w:val="nil"/>
            </w:tcBorders>
            <w:shd w:val="clear" w:color="auto" w:fill="auto"/>
            <w:tcMar>
              <w:top w:w="0" w:type="dxa"/>
              <w:left w:w="0" w:type="dxa"/>
              <w:bottom w:w="0" w:type="dxa"/>
              <w:right w:w="227" w:type="dxa"/>
            </w:tcMar>
          </w:tcPr>
          <w:p w14:paraId="1AA688CA" w14:textId="77777777" w:rsidR="003C0776" w:rsidRDefault="003C0776"/>
        </w:tc>
      </w:tr>
    </w:tbl>
    <w:p w14:paraId="3340F865" w14:textId="77777777" w:rsidR="003C0776" w:rsidRDefault="00000000">
      <w:pPr>
        <w:rPr>
          <w:sz w:val="8"/>
          <w:szCs w:val="8"/>
        </w:rPr>
      </w:pPr>
      <w:r>
        <w:rPr>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3C0776" w14:paraId="5716C1DE" w14:textId="77777777">
        <w:trPr>
          <w:jc w:val="center"/>
        </w:trPr>
        <w:tc>
          <w:tcPr>
            <w:tcW w:w="5000" w:type="pct"/>
            <w:tcBorders>
              <w:top w:val="nil"/>
              <w:left w:val="nil"/>
              <w:bottom w:val="nil"/>
              <w:right w:val="nil"/>
            </w:tcBorders>
            <w:shd w:val="clear" w:color="auto" w:fill="auto"/>
            <w:tcMar>
              <w:top w:w="0" w:type="dxa"/>
              <w:left w:w="0" w:type="dxa"/>
              <w:bottom w:w="0" w:type="dxa"/>
              <w:right w:w="227" w:type="dxa"/>
            </w:tcMar>
          </w:tcPr>
          <w:p w14:paraId="5E860911" w14:textId="77777777" w:rsidR="003C0776" w:rsidRDefault="00000000">
            <w:pPr>
              <w:rPr>
                <w:sz w:val="18"/>
                <w:szCs w:val="18"/>
              </w:rPr>
            </w:pPr>
            <w:r>
              <w:rPr>
                <w:noProof/>
                <w:sz w:val="18"/>
                <w:szCs w:val="18"/>
              </w:rPr>
              <w:drawing>
                <wp:inline distT="0" distB="0" distL="0" distR="0" wp14:anchorId="6E74E0D2" wp14:editId="14E1CFF4">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14:paraId="1F1842AF" w14:textId="77777777" w:rsidR="003C0776" w:rsidRDefault="00000000">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7412"/>
        <w:gridCol w:w="2340"/>
      </w:tblGrid>
      <w:tr w:rsidR="003C0776" w14:paraId="05C0C7B2" w14:textId="77777777">
        <w:tc>
          <w:tcPr>
            <w:tcW w:w="3800" w:type="pct"/>
            <w:tcBorders>
              <w:top w:val="nil"/>
              <w:left w:val="nil"/>
              <w:bottom w:val="nil"/>
              <w:right w:val="nil"/>
            </w:tcBorders>
            <w:shd w:val="clear" w:color="auto" w:fill="auto"/>
            <w:tcMar>
              <w:top w:w="0" w:type="dxa"/>
              <w:left w:w="0" w:type="dxa"/>
              <w:bottom w:w="0" w:type="dxa"/>
              <w:right w:w="227" w:type="dxa"/>
            </w:tcMar>
          </w:tcPr>
          <w:p w14:paraId="00C2EFAC" w14:textId="77777777" w:rsidR="003C0776" w:rsidRDefault="00000000">
            <w:pPr>
              <w:spacing w:after="240"/>
              <w:rPr>
                <w:sz w:val="20"/>
                <w:szCs w:val="20"/>
              </w:rPr>
            </w:pPr>
            <w:r>
              <w:rPr>
                <w:i/>
                <w:sz w:val="20"/>
                <w:szCs w:val="20"/>
              </w:rPr>
              <w:t>Für viele ist eine umfangreiche Badsanierung oder ein Neubau aufgrund der Kostensteigerungen in jüngster Zeit so teuer geworden, dass mit jedem Cent gerechnet werden muss. Da ist ein WASHLET nicht immer sofort im Budget enthalten, auch wenn es der Wunsch wäre. Mit der neuen Lösung von TOTO kann die Entscheidung für ein WASHLET auf einen späteren Zeitpunkt verschoben werden, bis es finanziell besser passt. Zusätzliche Montagekosten entstehen kaum, nur in das WASHLET muss natürlich investiert werden.</w:t>
            </w:r>
          </w:p>
          <w:p w14:paraId="51714085" w14:textId="77777777" w:rsidR="003C0776" w:rsidRDefault="00000000">
            <w:pPr>
              <w:spacing w:after="240"/>
              <w:rPr>
                <w:sz w:val="20"/>
                <w:szCs w:val="20"/>
              </w:rPr>
            </w:pPr>
            <w:r>
              <w:rPr>
                <w:sz w:val="20"/>
                <w:szCs w:val="20"/>
              </w:rPr>
              <w:t>Es ist unter anderem dem japanischen Sanitärexperten TOTO zu verdanken, dass das Dusch-WC europäische Badezimmer erobert hat. Doch anders als in Japan, wo ein WASHLET ganz selbstverständlich zur Alltags- und Hygienekultur gehört, scheint es in Europa für viele noch außer Reichweite zu sein. Dies hat TOTO dazu inspiriert, eine clevere Lösung zu konzipieren: Einige WC-Modelle von TOTO, darunter das beliebte WC RP, lassen sich nun auch nachträglich zu einem WASHLET aufrüsten.</w:t>
            </w:r>
          </w:p>
          <w:p w14:paraId="00C52083" w14:textId="77777777" w:rsidR="003C0776" w:rsidRDefault="00000000">
            <w:pPr>
              <w:spacing w:after="240"/>
              <w:rPr>
                <w:sz w:val="20"/>
                <w:szCs w:val="20"/>
              </w:rPr>
            </w:pPr>
            <w:r>
              <w:rPr>
                <w:b/>
                <w:sz w:val="20"/>
                <w:szCs w:val="20"/>
              </w:rPr>
              <w:t>So funktioniert das Upgrade</w:t>
            </w:r>
          </w:p>
          <w:p w14:paraId="257CF9A3" w14:textId="77777777" w:rsidR="003C0776" w:rsidRDefault="00000000">
            <w:pPr>
              <w:spacing w:after="240"/>
              <w:rPr>
                <w:sz w:val="20"/>
                <w:szCs w:val="20"/>
              </w:rPr>
            </w:pPr>
            <w:r>
              <w:rPr>
                <w:sz w:val="20"/>
                <w:szCs w:val="20"/>
              </w:rPr>
              <w:t xml:space="preserve">Bei den für ein Upgrade vorgesehenen WC-Modellen sind die Installationsöffnungen für Wasser und Strom bereits vorhanden. Solange die Keramiken als WC mit einem normalen WC-Deckel genutzt werden, sind die notwendigen Löcher in der Keramik mit unauffälligen </w:t>
            </w:r>
            <w:proofErr w:type="spellStart"/>
            <w:r>
              <w:rPr>
                <w:sz w:val="20"/>
                <w:szCs w:val="20"/>
              </w:rPr>
              <w:t>FlexCovern</w:t>
            </w:r>
            <w:proofErr w:type="spellEnd"/>
            <w:r>
              <w:rPr>
                <w:sz w:val="20"/>
                <w:szCs w:val="20"/>
              </w:rPr>
              <w:t xml:space="preserve"> abgedeckt. Wird das WC dann zum WASHLET umgewandelt, lassen sich die </w:t>
            </w:r>
            <w:proofErr w:type="spellStart"/>
            <w:r>
              <w:rPr>
                <w:sz w:val="20"/>
                <w:szCs w:val="20"/>
              </w:rPr>
              <w:t>FlexCover</w:t>
            </w:r>
            <w:proofErr w:type="spellEnd"/>
            <w:r>
              <w:rPr>
                <w:sz w:val="20"/>
                <w:szCs w:val="20"/>
              </w:rPr>
              <w:t xml:space="preserve"> entfernen, das WASHLET auf die Keramik setzen und der Wasser- und Stromanschluss durch die Öffnungen führen. Besonders schnell und bequem lässt sich das Upgrade durchführen, wenn der Installationsrahmen von TOTO verwendet wird. In diesem Fall muss das WC nicht von der Wand genommen werden, um das Upgrade durchzuführen. Grundsätzlich </w:t>
            </w:r>
            <w:r>
              <w:rPr>
                <w:sz w:val="20"/>
                <w:szCs w:val="20"/>
              </w:rPr>
              <w:lastRenderedPageBreak/>
              <w:t xml:space="preserve">funktionieren beim Upgrade auch die Installationsrahmen anderer Hersteller. Mit einem </w:t>
            </w:r>
            <w:proofErr w:type="gramStart"/>
            <w:r>
              <w:rPr>
                <w:sz w:val="20"/>
                <w:szCs w:val="20"/>
              </w:rPr>
              <w:t>TOTO Installationsrahmen</w:t>
            </w:r>
            <w:proofErr w:type="gramEnd"/>
            <w:r>
              <w:rPr>
                <w:sz w:val="20"/>
                <w:szCs w:val="20"/>
              </w:rPr>
              <w:t xml:space="preserve"> gelingt das Aufrüsten mit etwas Übung jedoch bereits in fünf Minuten.</w:t>
            </w:r>
          </w:p>
          <w:p w14:paraId="4681B6F6" w14:textId="77777777" w:rsidR="003C0776" w:rsidRDefault="00000000">
            <w:pPr>
              <w:spacing w:after="240"/>
              <w:rPr>
                <w:sz w:val="20"/>
                <w:szCs w:val="20"/>
              </w:rPr>
            </w:pPr>
            <w:r>
              <w:rPr>
                <w:b/>
                <w:sz w:val="20"/>
                <w:szCs w:val="20"/>
              </w:rPr>
              <w:t>Langlebigkeit ist TOTO wichtig</w:t>
            </w:r>
          </w:p>
          <w:p w14:paraId="7954CB0D" w14:textId="77777777" w:rsidR="003C0776" w:rsidRDefault="00000000">
            <w:pPr>
              <w:spacing w:after="240"/>
              <w:rPr>
                <w:sz w:val="20"/>
                <w:szCs w:val="20"/>
              </w:rPr>
            </w:pPr>
            <w:r>
              <w:rPr>
                <w:sz w:val="20"/>
                <w:szCs w:val="20"/>
              </w:rPr>
              <w:t xml:space="preserve">Die Option, ein WC zu einem WASHLET upzugraden, erlaubt eine möglichst lange Nutzungsdauer der hochwertigen Keramik. Aufgrund ihrer </w:t>
            </w:r>
            <w:proofErr w:type="spellStart"/>
            <w:r>
              <w:rPr>
                <w:sz w:val="20"/>
                <w:szCs w:val="20"/>
              </w:rPr>
              <w:t>Cefiontect</w:t>
            </w:r>
            <w:proofErr w:type="spellEnd"/>
            <w:r>
              <w:rPr>
                <w:sz w:val="20"/>
                <w:szCs w:val="20"/>
              </w:rPr>
              <w:t xml:space="preserve"> Glasur ist sie nicht nur ausgesprochen widerstandsfähig gegen Schmutz, sondern bewahrt auch dauerhaft ihren Glanz. Alle WC-Keramiken verfügen über die effektive Spülung Tornado </w:t>
            </w:r>
            <w:proofErr w:type="spellStart"/>
            <w:r>
              <w:rPr>
                <w:sz w:val="20"/>
                <w:szCs w:val="20"/>
              </w:rPr>
              <w:t>Flush</w:t>
            </w:r>
            <w:proofErr w:type="spellEnd"/>
            <w:r>
              <w:rPr>
                <w:sz w:val="20"/>
                <w:szCs w:val="20"/>
              </w:rPr>
              <w:t xml:space="preserve"> und Randlosigkeit der WC-Keramik. Neben der Vision, ein hochwertiges und erschwingliches Produkt für möglichst viele Menschen zu bieten, ist TOTO auch die Langlebigkeit ein wichtiges Anliegen.</w:t>
            </w:r>
          </w:p>
          <w:p w14:paraId="44FEA569" w14:textId="77777777" w:rsidR="003C0776" w:rsidRDefault="00000000">
            <w:pPr>
              <w:rPr>
                <w:sz w:val="20"/>
                <w:szCs w:val="20"/>
              </w:rPr>
            </w:pPr>
            <w:r>
              <w:rPr>
                <w:sz w:val="20"/>
                <w:szCs w:val="20"/>
              </w:rPr>
              <w:br/>
              <w:t>Düsseldorf, im März 2025</w:t>
            </w:r>
            <w:r>
              <w:rPr>
                <w:sz w:val="20"/>
                <w:szCs w:val="20"/>
              </w:rPr>
              <w:br/>
              <w:t>Abdruck honorarfrei / Beleg erbeten</w:t>
            </w:r>
          </w:p>
        </w:tc>
        <w:tc>
          <w:tcPr>
            <w:tcW w:w="1200" w:type="pct"/>
            <w:tcBorders>
              <w:top w:val="nil"/>
              <w:left w:val="nil"/>
              <w:bottom w:val="nil"/>
              <w:right w:val="nil"/>
            </w:tcBorders>
            <w:shd w:val="clear" w:color="auto" w:fill="auto"/>
            <w:tcMar>
              <w:top w:w="0" w:type="dxa"/>
              <w:left w:w="0" w:type="dxa"/>
              <w:bottom w:w="0" w:type="dxa"/>
              <w:right w:w="227" w:type="dxa"/>
            </w:tcMar>
          </w:tcPr>
          <w:p w14:paraId="781C985D" w14:textId="77777777" w:rsidR="003C0776" w:rsidRDefault="00000000">
            <w:pPr>
              <w:spacing w:after="240"/>
              <w:rPr>
                <w:sz w:val="20"/>
                <w:szCs w:val="20"/>
              </w:rPr>
            </w:pPr>
            <w:r>
              <w:rPr>
                <w:b/>
                <w:sz w:val="20"/>
                <w:szCs w:val="20"/>
              </w:rPr>
              <w:lastRenderedPageBreak/>
              <w:t>Ansprechpartner für Journalisten:</w:t>
            </w:r>
            <w:r>
              <w:rPr>
                <w:b/>
                <w:sz w:val="20"/>
                <w:szCs w:val="20"/>
              </w:rPr>
              <w:br/>
            </w:r>
            <w:r>
              <w:rPr>
                <w:sz w:val="20"/>
                <w:szCs w:val="20"/>
              </w:rPr>
              <w:t>bering*</w:t>
            </w:r>
            <w:proofErr w:type="spellStart"/>
            <w:r>
              <w:rPr>
                <w:sz w:val="20"/>
                <w:szCs w:val="20"/>
              </w:rPr>
              <w:t>kopal</w:t>
            </w:r>
            <w:proofErr w:type="spellEnd"/>
            <w:r>
              <w:rPr>
                <w:sz w:val="20"/>
                <w:szCs w:val="20"/>
              </w:rPr>
              <w:t xml:space="preserve"> GbR, Büro für Kommunikation</w:t>
            </w:r>
            <w:r>
              <w:rPr>
                <w:sz w:val="20"/>
                <w:szCs w:val="20"/>
              </w:rPr>
              <w:br/>
              <w:t>Heike Bering</w:t>
            </w:r>
            <w:r>
              <w:rPr>
                <w:sz w:val="20"/>
                <w:szCs w:val="20"/>
              </w:rPr>
              <w:br/>
              <w:t>Tel. +49 (0)711 7451 759 15</w:t>
            </w:r>
          </w:p>
          <w:p w14:paraId="7C0E2536" w14:textId="77777777" w:rsidR="003C0776" w:rsidRDefault="00000000">
            <w:pPr>
              <w:spacing w:after="240"/>
              <w:rPr>
                <w:sz w:val="20"/>
                <w:szCs w:val="20"/>
              </w:rPr>
            </w:pPr>
            <w:proofErr w:type="spellStart"/>
            <w:proofErr w:type="gramStart"/>
            <w:r>
              <w:rPr>
                <w:sz w:val="20"/>
                <w:szCs w:val="20"/>
              </w:rPr>
              <w:t>heike.bering</w:t>
            </w:r>
            <w:proofErr w:type="spellEnd"/>
            <w:proofErr w:type="gramEnd"/>
            <w:r>
              <w:rPr>
                <w:sz w:val="20"/>
                <w:szCs w:val="20"/>
              </w:rPr>
              <w:t>@</w:t>
            </w:r>
            <w:r>
              <w:rPr>
                <w:sz w:val="20"/>
                <w:szCs w:val="20"/>
              </w:rPr>
              <w:br/>
              <w:t>bering-kopal.de</w:t>
            </w:r>
          </w:p>
          <w:p w14:paraId="45B68B84" w14:textId="77777777" w:rsidR="003C0776" w:rsidRDefault="00000000">
            <w:pPr>
              <w:spacing w:after="240"/>
              <w:rPr>
                <w:sz w:val="20"/>
                <w:szCs w:val="20"/>
              </w:rPr>
            </w:pPr>
            <w:r>
              <w:rPr>
                <w:b/>
                <w:sz w:val="20"/>
                <w:szCs w:val="20"/>
              </w:rPr>
              <w:t>Ansprechpartnerin im Unternehmen:</w:t>
            </w:r>
            <w:r>
              <w:rPr>
                <w:b/>
                <w:sz w:val="20"/>
                <w:szCs w:val="20"/>
              </w:rPr>
              <w:br/>
            </w:r>
            <w:r>
              <w:rPr>
                <w:sz w:val="20"/>
                <w:szCs w:val="20"/>
              </w:rPr>
              <w:t>Anja Giersiepen</w:t>
            </w:r>
            <w:r>
              <w:rPr>
                <w:sz w:val="20"/>
                <w:szCs w:val="20"/>
              </w:rPr>
              <w:br/>
            </w:r>
            <w:proofErr w:type="spellStart"/>
            <w:r>
              <w:rPr>
                <w:sz w:val="20"/>
                <w:szCs w:val="20"/>
              </w:rPr>
              <w:t>anja.giersiepen</w:t>
            </w:r>
            <w:proofErr w:type="spellEnd"/>
            <w:r>
              <w:rPr>
                <w:sz w:val="20"/>
                <w:szCs w:val="20"/>
              </w:rPr>
              <w:t>@</w:t>
            </w:r>
            <w:r>
              <w:rPr>
                <w:sz w:val="20"/>
                <w:szCs w:val="20"/>
              </w:rPr>
              <w:br/>
              <w:t>toto.com</w:t>
            </w:r>
          </w:p>
          <w:p w14:paraId="07132D62" w14:textId="77777777" w:rsidR="003C0776" w:rsidRDefault="00000000">
            <w:pPr>
              <w:rPr>
                <w:sz w:val="20"/>
                <w:szCs w:val="20"/>
              </w:rPr>
            </w:pPr>
            <w:r>
              <w:rPr>
                <w:sz w:val="20"/>
                <w:szCs w:val="20"/>
              </w:rPr>
              <w:t>TOTO im Internet:</w:t>
            </w:r>
            <w:r>
              <w:rPr>
                <w:sz w:val="20"/>
                <w:szCs w:val="20"/>
              </w:rPr>
              <w:br/>
            </w:r>
            <w:hyperlink r:id="rId7">
              <w:r>
                <w:rPr>
                  <w:rStyle w:val="Hyperlink"/>
                  <w:color w:val="000000"/>
                  <w:sz w:val="20"/>
                  <w:szCs w:val="20"/>
                </w:rPr>
                <w:t>eu.toto.com/de</w:t>
              </w:r>
            </w:hyperlink>
          </w:p>
        </w:tc>
      </w:tr>
    </w:tbl>
    <w:p w14:paraId="4FB9A8E4" w14:textId="77777777" w:rsidR="003C0776" w:rsidRDefault="00000000">
      <w:r>
        <w:br w:type="page"/>
      </w:r>
    </w:p>
    <w:p w14:paraId="209119A2" w14:textId="5E612E61" w:rsidR="003C0776" w:rsidRDefault="00000000">
      <w:pPr>
        <w:rPr>
          <w:sz w:val="17"/>
          <w:szCs w:val="17"/>
        </w:rPr>
      </w:pPr>
      <w:r>
        <w:rPr>
          <w:b/>
          <w:sz w:val="17"/>
          <w:szCs w:val="17"/>
        </w:rPr>
        <w:lastRenderedPageBreak/>
        <w:t>1</w:t>
      </w:r>
      <w:r>
        <w:rPr>
          <w:sz w:val="17"/>
          <w:szCs w:val="17"/>
        </w:rPr>
        <w:t xml:space="preserve"> Die </w:t>
      </w:r>
      <w:proofErr w:type="spellStart"/>
      <w:r>
        <w:rPr>
          <w:sz w:val="17"/>
          <w:szCs w:val="17"/>
        </w:rPr>
        <w:t>FlexCover</w:t>
      </w:r>
      <w:proofErr w:type="spellEnd"/>
      <w:r>
        <w:rPr>
          <w:sz w:val="17"/>
          <w:szCs w:val="17"/>
        </w:rPr>
        <w:t xml:space="preserve"> ermöglichen es, dass die Keramik mit WC-Deckel als normale Toilette genutzt und jederzeit später zu einem WASHLET aufgerüstet werden kann. Foto: TOTO</w:t>
      </w:r>
      <w:r>
        <w:rPr>
          <w:sz w:val="17"/>
          <w:szCs w:val="17"/>
        </w:rPr>
        <w:br/>
      </w:r>
    </w:p>
    <w:p w14:paraId="7991176B" w14:textId="77777777" w:rsidR="003C0776" w:rsidRDefault="00000000">
      <w:pPr>
        <w:rPr>
          <w:sz w:val="17"/>
          <w:szCs w:val="17"/>
        </w:rPr>
      </w:pPr>
      <w:r>
        <w:rPr>
          <w:b/>
          <w:sz w:val="17"/>
          <w:szCs w:val="17"/>
        </w:rPr>
        <w:t>2</w:t>
      </w:r>
      <w:r>
        <w:rPr>
          <w:sz w:val="17"/>
          <w:szCs w:val="17"/>
        </w:rPr>
        <w:t xml:space="preserve"> WC RP, eines der TOTO WC-Modelle, das sich zum WASHLET aufrüsten lässt. Foto: TOTO</w:t>
      </w:r>
      <w:r>
        <w:rPr>
          <w:sz w:val="17"/>
          <w:szCs w:val="17"/>
        </w:rPr>
        <w:br/>
      </w:r>
    </w:p>
    <w:p w14:paraId="4E3C4D38" w14:textId="30879F79" w:rsidR="003C0776" w:rsidRDefault="00000000">
      <w:pPr>
        <w:rPr>
          <w:sz w:val="17"/>
          <w:szCs w:val="17"/>
        </w:rPr>
      </w:pPr>
      <w:r>
        <w:rPr>
          <w:b/>
          <w:sz w:val="17"/>
          <w:szCs w:val="17"/>
        </w:rPr>
        <w:t>3</w:t>
      </w:r>
      <w:r>
        <w:rPr>
          <w:sz w:val="17"/>
          <w:szCs w:val="17"/>
        </w:rPr>
        <w:t xml:space="preserve"> Die </w:t>
      </w:r>
      <w:proofErr w:type="spellStart"/>
      <w:r>
        <w:rPr>
          <w:sz w:val="17"/>
          <w:szCs w:val="17"/>
        </w:rPr>
        <w:t>FlexCover</w:t>
      </w:r>
      <w:proofErr w:type="spellEnd"/>
      <w:r>
        <w:rPr>
          <w:sz w:val="17"/>
          <w:szCs w:val="17"/>
        </w:rPr>
        <w:t xml:space="preserve"> decken die Installationsöffnungen in der WC-Keramik von TOTO ab. Erfolgt das Upgrade zu einem WASHLET, werden die Öffnungen für Wasser- und Stromanschlüsse benötigt. Foto: TOTO</w:t>
      </w:r>
      <w:r>
        <w:rPr>
          <w:sz w:val="17"/>
          <w:szCs w:val="17"/>
        </w:rPr>
        <w:br/>
      </w:r>
    </w:p>
    <w:p w14:paraId="7A6B462A" w14:textId="77777777" w:rsidR="003C0776" w:rsidRDefault="00000000">
      <w:pPr>
        <w:rPr>
          <w:sz w:val="17"/>
          <w:szCs w:val="17"/>
        </w:rPr>
      </w:pPr>
      <w:r>
        <w:rPr>
          <w:b/>
          <w:sz w:val="17"/>
          <w:szCs w:val="17"/>
        </w:rPr>
        <w:t>4</w:t>
      </w:r>
      <w:r>
        <w:rPr>
          <w:sz w:val="17"/>
          <w:szCs w:val="17"/>
        </w:rPr>
        <w:t xml:space="preserve"> Besonders schnell und bequem lässt sich das Upgrade durchführen, wenn der Installationsrahmen von TOTO verwendet wird. In diesem Fall muss das WC nicht von der Wand genommen werden, um das Upgrade durchzuführen. Grundsätzlich funktionieren beim Upgrade auch die Installationsrahmen anderer Hersteller. Mit einem </w:t>
      </w:r>
      <w:proofErr w:type="gramStart"/>
      <w:r>
        <w:rPr>
          <w:sz w:val="17"/>
          <w:szCs w:val="17"/>
        </w:rPr>
        <w:t>TOTO Installationsrahmen</w:t>
      </w:r>
      <w:proofErr w:type="gramEnd"/>
      <w:r>
        <w:rPr>
          <w:sz w:val="17"/>
          <w:szCs w:val="17"/>
        </w:rPr>
        <w:t xml:space="preserve"> gelingt das Aufrüsten mit etwas Übung jedoch bereits in fünf Minuten. Foto: TOTO</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3C0776" w14:paraId="24A5661E" w14:textId="77777777">
        <w:tc>
          <w:tcPr>
            <w:tcW w:w="2444" w:type="pct"/>
            <w:tcBorders>
              <w:top w:val="nil"/>
              <w:left w:val="nil"/>
              <w:bottom w:val="nil"/>
              <w:right w:val="nil"/>
            </w:tcBorders>
            <w:shd w:val="clear" w:color="auto" w:fill="auto"/>
            <w:tcMar>
              <w:top w:w="0" w:type="dxa"/>
              <w:left w:w="0" w:type="dxa"/>
              <w:bottom w:w="0" w:type="dxa"/>
              <w:right w:w="0" w:type="dxa"/>
            </w:tcMar>
          </w:tcPr>
          <w:p w14:paraId="006FBDE3" w14:textId="77777777" w:rsidR="003C0776" w:rsidRDefault="00000000">
            <w:pPr>
              <w:keepNext/>
              <w:keepLines/>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14:paraId="59D44E0F" w14:textId="77777777" w:rsidR="003C0776" w:rsidRDefault="003C0776">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40C36FD0" w14:textId="77777777" w:rsidR="003C0776" w:rsidRDefault="00000000">
            <w:pPr>
              <w:keepNext/>
              <w:keepLines/>
              <w:rPr>
                <w:sz w:val="14"/>
                <w:szCs w:val="14"/>
              </w:rPr>
            </w:pPr>
            <w:r>
              <w:rPr>
                <w:sz w:val="14"/>
                <w:szCs w:val="14"/>
              </w:rPr>
              <w:t>2.</w:t>
            </w:r>
          </w:p>
        </w:tc>
      </w:tr>
      <w:tr w:rsidR="003C0776" w14:paraId="373CE064"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784B416C" w14:textId="77777777" w:rsidR="003C0776" w:rsidRDefault="00000000">
            <w:pPr>
              <w:keepNext/>
              <w:keepLines/>
              <w:rPr>
                <w:sz w:val="14"/>
                <w:szCs w:val="14"/>
              </w:rPr>
            </w:pPr>
            <w:r>
              <w:rPr>
                <w:noProof/>
                <w:sz w:val="14"/>
                <w:szCs w:val="14"/>
              </w:rPr>
              <w:drawing>
                <wp:inline distT="0" distB="0" distL="0" distR="0" wp14:anchorId="35F37A44" wp14:editId="58A64623">
                  <wp:extent cx="201422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8"/>
                          <a:srcRect/>
                          <a:stretch>
                            <a:fillRect/>
                          </a:stretch>
                        </pic:blipFill>
                        <pic:spPr>
                          <a:xfrm>
                            <a:off x="0" y="0"/>
                            <a:ext cx="201422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7A19B2BC" w14:textId="77777777" w:rsidR="003C0776" w:rsidRDefault="003C0776">
            <w:pPr>
              <w:keepNext/>
              <w:keepLines/>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46EAC2B8" w14:textId="77777777" w:rsidR="003C0776" w:rsidRDefault="00000000">
            <w:pPr>
              <w:keepNext/>
              <w:keepLines/>
              <w:rPr>
                <w:sz w:val="14"/>
                <w:szCs w:val="14"/>
              </w:rPr>
            </w:pPr>
            <w:r>
              <w:rPr>
                <w:noProof/>
                <w:sz w:val="14"/>
                <w:szCs w:val="14"/>
              </w:rPr>
              <w:drawing>
                <wp:inline distT="0" distB="0" distL="0" distR="0" wp14:anchorId="7DDD98D5" wp14:editId="393D27B4">
                  <wp:extent cx="2566035"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9"/>
                          <a:srcRect/>
                          <a:stretch>
                            <a:fillRect/>
                          </a:stretch>
                        </pic:blipFill>
                        <pic:spPr>
                          <a:xfrm>
                            <a:off x="0" y="0"/>
                            <a:ext cx="2566035" cy="2014220"/>
                          </a:xfrm>
                          <a:prstGeom prst="rect">
                            <a:avLst/>
                          </a:prstGeom>
                        </pic:spPr>
                      </pic:pic>
                    </a:graphicData>
                  </a:graphic>
                </wp:inline>
              </w:drawing>
            </w:r>
          </w:p>
        </w:tc>
      </w:tr>
      <w:tr w:rsidR="003C0776" w14:paraId="22766193" w14:textId="77777777">
        <w:tc>
          <w:tcPr>
            <w:tcW w:w="2444" w:type="pct"/>
            <w:tcBorders>
              <w:top w:val="nil"/>
              <w:left w:val="nil"/>
              <w:bottom w:val="nil"/>
              <w:right w:val="nil"/>
            </w:tcBorders>
            <w:shd w:val="clear" w:color="auto" w:fill="auto"/>
            <w:tcMar>
              <w:top w:w="0" w:type="dxa"/>
              <w:left w:w="0" w:type="dxa"/>
              <w:bottom w:w="0" w:type="dxa"/>
              <w:right w:w="0" w:type="dxa"/>
            </w:tcMar>
          </w:tcPr>
          <w:p w14:paraId="3579241C" w14:textId="77777777" w:rsidR="003C0776" w:rsidRDefault="003C0776">
            <w:pPr>
              <w:keepNext/>
              <w:keepLines/>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14:paraId="036B2077" w14:textId="77777777" w:rsidR="003C0776" w:rsidRDefault="003C0776">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3FC923FC" w14:textId="77777777" w:rsidR="003C0776" w:rsidRDefault="003C0776">
            <w:pPr>
              <w:keepNext/>
              <w:keepLines/>
              <w:rPr>
                <w:sz w:val="14"/>
                <w:szCs w:val="14"/>
              </w:rPr>
            </w:pPr>
          </w:p>
        </w:tc>
      </w:tr>
      <w:tr w:rsidR="003C0776" w14:paraId="73571976" w14:textId="77777777">
        <w:tc>
          <w:tcPr>
            <w:tcW w:w="2444" w:type="pct"/>
            <w:tcBorders>
              <w:top w:val="nil"/>
              <w:left w:val="nil"/>
              <w:bottom w:val="nil"/>
              <w:right w:val="nil"/>
            </w:tcBorders>
            <w:shd w:val="clear" w:color="auto" w:fill="auto"/>
            <w:tcMar>
              <w:top w:w="0" w:type="dxa"/>
              <w:left w:w="0" w:type="dxa"/>
              <w:bottom w:w="0" w:type="dxa"/>
              <w:right w:w="0" w:type="dxa"/>
            </w:tcMar>
          </w:tcPr>
          <w:p w14:paraId="328A14E0" w14:textId="77777777" w:rsidR="003C0776" w:rsidRDefault="00000000">
            <w:pPr>
              <w:keepNext/>
              <w:keepLines/>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14:paraId="764FB25C" w14:textId="77777777" w:rsidR="003C0776" w:rsidRDefault="003C0776">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6A7A5D38" w14:textId="77777777" w:rsidR="003C0776" w:rsidRDefault="00000000">
            <w:pPr>
              <w:keepNext/>
              <w:keepLines/>
              <w:rPr>
                <w:sz w:val="14"/>
                <w:szCs w:val="14"/>
              </w:rPr>
            </w:pPr>
            <w:r>
              <w:rPr>
                <w:sz w:val="14"/>
                <w:szCs w:val="14"/>
              </w:rPr>
              <w:t>4.</w:t>
            </w:r>
          </w:p>
        </w:tc>
      </w:tr>
      <w:tr w:rsidR="003C0776" w14:paraId="61820EC1"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6F78C830" w14:textId="77777777" w:rsidR="003C0776" w:rsidRDefault="00000000">
            <w:pPr>
              <w:keepNext/>
              <w:keepLines/>
              <w:rPr>
                <w:sz w:val="14"/>
                <w:szCs w:val="14"/>
              </w:rPr>
            </w:pPr>
            <w:r>
              <w:rPr>
                <w:noProof/>
                <w:sz w:val="14"/>
                <w:szCs w:val="14"/>
              </w:rPr>
              <w:drawing>
                <wp:inline distT="0" distB="0" distL="0" distR="0" wp14:anchorId="7A28F5D6" wp14:editId="106BFD98">
                  <wp:extent cx="1072515"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10"/>
                          <a:srcRect/>
                          <a:stretch>
                            <a:fillRect/>
                          </a:stretch>
                        </pic:blipFill>
                        <pic:spPr>
                          <a:xfrm>
                            <a:off x="0" y="0"/>
                            <a:ext cx="107251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07A4D140" w14:textId="77777777" w:rsidR="003C0776" w:rsidRDefault="003C0776">
            <w:pPr>
              <w:keepNext/>
              <w:keepLines/>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58FC48CF" w14:textId="77777777" w:rsidR="003C0776" w:rsidRDefault="00000000">
            <w:pPr>
              <w:keepNext/>
              <w:keepLines/>
              <w:rPr>
                <w:sz w:val="14"/>
                <w:szCs w:val="14"/>
              </w:rPr>
            </w:pPr>
            <w:r>
              <w:rPr>
                <w:noProof/>
                <w:sz w:val="14"/>
                <w:szCs w:val="14"/>
              </w:rPr>
              <w:drawing>
                <wp:inline distT="0" distB="0" distL="0" distR="0" wp14:anchorId="19EC6499" wp14:editId="1CDBF3C9">
                  <wp:extent cx="1331595"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1"/>
                          <a:srcRect/>
                          <a:stretch>
                            <a:fillRect/>
                          </a:stretch>
                        </pic:blipFill>
                        <pic:spPr>
                          <a:xfrm>
                            <a:off x="0" y="0"/>
                            <a:ext cx="1331595" cy="2014220"/>
                          </a:xfrm>
                          <a:prstGeom prst="rect">
                            <a:avLst/>
                          </a:prstGeom>
                        </pic:spPr>
                      </pic:pic>
                    </a:graphicData>
                  </a:graphic>
                </wp:inline>
              </w:drawing>
            </w:r>
          </w:p>
        </w:tc>
      </w:tr>
    </w:tbl>
    <w:p w14:paraId="557CEEFC" w14:textId="77777777" w:rsidR="003C0776" w:rsidRDefault="00000000">
      <w:r>
        <w:br w:type="page"/>
      </w:r>
    </w:p>
    <w:p w14:paraId="34E91077" w14:textId="77777777" w:rsidR="003C0776" w:rsidRDefault="00000000">
      <w:pPr>
        <w:rPr>
          <w:sz w:val="17"/>
          <w:szCs w:val="17"/>
        </w:rPr>
      </w:pPr>
      <w:r>
        <w:rPr>
          <w:b/>
          <w:sz w:val="17"/>
          <w:szCs w:val="17"/>
        </w:rPr>
        <w:lastRenderedPageBreak/>
        <w:t>5</w:t>
      </w:r>
      <w:r>
        <w:rPr>
          <w:sz w:val="17"/>
          <w:szCs w:val="17"/>
        </w:rPr>
        <w:t xml:space="preserve"> Ohne Aufwand können nun verschiedene WASHLET Modelle installiert werden. Für das Upgrade sind die WC Modelle RP, SP und GP vorgesehen. Foto: TOTO</w:t>
      </w:r>
      <w:r>
        <w:rPr>
          <w:sz w:val="17"/>
          <w:szCs w:val="17"/>
        </w:rPr>
        <w:br/>
      </w:r>
    </w:p>
    <w:p w14:paraId="6C2973AE" w14:textId="685A0320" w:rsidR="003C0776" w:rsidRDefault="00000000">
      <w:pPr>
        <w:rPr>
          <w:sz w:val="17"/>
          <w:szCs w:val="17"/>
        </w:rPr>
      </w:pPr>
      <w:r>
        <w:rPr>
          <w:b/>
          <w:sz w:val="17"/>
          <w:szCs w:val="17"/>
        </w:rPr>
        <w:t>6</w:t>
      </w:r>
      <w:r>
        <w:rPr>
          <w:sz w:val="17"/>
          <w:szCs w:val="17"/>
        </w:rPr>
        <w:t xml:space="preserve"> Im Handumdrehen vom WC zum WASHLET, hier das Modell RW. Nach der Installation werden die Zuleitungen sauber in die Keramik integriert. Für das Upgrade stehen die WASHLET Modelle RW, SW, RX, SX sowie RG zur Verfügung. Alle WASHLET verfügen über die hochwertigen TOTO Hygiene- und Komforttechniken. Foto: TOTO </w:t>
      </w:r>
      <w:r>
        <w:rPr>
          <w:sz w:val="17"/>
          <w:szCs w:val="17"/>
        </w:rPr>
        <w:br/>
      </w:r>
    </w:p>
    <w:p w14:paraId="0D47BADF" w14:textId="77777777" w:rsidR="003C0776" w:rsidRDefault="00000000">
      <w:pPr>
        <w:rPr>
          <w:sz w:val="17"/>
          <w:szCs w:val="17"/>
        </w:rPr>
      </w:pPr>
      <w:r>
        <w:rPr>
          <w:b/>
          <w:sz w:val="17"/>
          <w:szCs w:val="17"/>
        </w:rPr>
        <w:t>7</w:t>
      </w:r>
      <w:r>
        <w:rPr>
          <w:sz w:val="17"/>
          <w:szCs w:val="17"/>
        </w:rPr>
        <w:t xml:space="preserve"> Das WASHLET RW ist ein großer Schritt hin zu mehr Komfort und Hygiene. Wer die Vorzüge der Intimreinigung mit warmem Wasser erst einmal gewohnt ist, wird nicht mehr darauf verzichten wollen. Foto: TOTO</w:t>
      </w:r>
      <w:r>
        <w:rPr>
          <w:sz w:val="17"/>
          <w:szCs w:val="17"/>
        </w:rPr>
        <w:br/>
      </w:r>
    </w:p>
    <w:p w14:paraId="13D8BCC7" w14:textId="77777777" w:rsidR="003C0776" w:rsidRDefault="00000000">
      <w:pPr>
        <w:rPr>
          <w:sz w:val="17"/>
          <w:szCs w:val="17"/>
        </w:rPr>
      </w:pPr>
      <w:r>
        <w:rPr>
          <w:b/>
          <w:sz w:val="17"/>
          <w:szCs w:val="17"/>
        </w:rPr>
        <w:t>8</w:t>
      </w:r>
      <w:r>
        <w:rPr>
          <w:sz w:val="17"/>
          <w:szCs w:val="17"/>
        </w:rPr>
        <w:t xml:space="preserve"> Die technische Zeichnung veranschaulicht die einzelnen Schritte </w:t>
      </w:r>
      <w:proofErr w:type="gramStart"/>
      <w:r>
        <w:rPr>
          <w:sz w:val="17"/>
          <w:szCs w:val="17"/>
        </w:rPr>
        <w:t>des Upgrade</w:t>
      </w:r>
      <w:proofErr w:type="gramEnd"/>
      <w:r>
        <w:rPr>
          <w:sz w:val="17"/>
          <w:szCs w:val="17"/>
        </w:rPr>
        <w:t xml:space="preserve"> vom WC zum WASHLET. Foto: TOTO  </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3C0776" w14:paraId="486B8822" w14:textId="77777777">
        <w:tc>
          <w:tcPr>
            <w:tcW w:w="2444" w:type="pct"/>
            <w:tcBorders>
              <w:top w:val="nil"/>
              <w:left w:val="nil"/>
              <w:bottom w:val="nil"/>
              <w:right w:val="nil"/>
            </w:tcBorders>
            <w:shd w:val="clear" w:color="auto" w:fill="auto"/>
            <w:tcMar>
              <w:top w:w="0" w:type="dxa"/>
              <w:left w:w="0" w:type="dxa"/>
              <w:bottom w:w="0" w:type="dxa"/>
              <w:right w:w="0" w:type="dxa"/>
            </w:tcMar>
          </w:tcPr>
          <w:p w14:paraId="7CCEE7DF" w14:textId="77777777" w:rsidR="003C0776" w:rsidRDefault="00000000">
            <w:pPr>
              <w:keepNext/>
              <w:keepLines/>
              <w:rPr>
                <w:sz w:val="14"/>
                <w:szCs w:val="14"/>
              </w:rPr>
            </w:pPr>
            <w:r>
              <w:rPr>
                <w:sz w:val="14"/>
                <w:szCs w:val="14"/>
              </w:rPr>
              <w:t>5.</w:t>
            </w:r>
          </w:p>
        </w:tc>
        <w:tc>
          <w:tcPr>
            <w:tcW w:w="112" w:type="pct"/>
            <w:tcBorders>
              <w:top w:val="nil"/>
              <w:left w:val="nil"/>
              <w:bottom w:val="nil"/>
              <w:right w:val="nil"/>
            </w:tcBorders>
            <w:shd w:val="clear" w:color="auto" w:fill="auto"/>
            <w:tcMar>
              <w:top w:w="0" w:type="dxa"/>
              <w:left w:w="0" w:type="dxa"/>
              <w:bottom w:w="0" w:type="dxa"/>
              <w:right w:w="0" w:type="dxa"/>
            </w:tcMar>
          </w:tcPr>
          <w:p w14:paraId="28A23E17" w14:textId="77777777" w:rsidR="003C0776" w:rsidRDefault="003C0776">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7334B75E" w14:textId="77777777" w:rsidR="003C0776" w:rsidRDefault="00000000">
            <w:pPr>
              <w:keepNext/>
              <w:keepLines/>
              <w:rPr>
                <w:sz w:val="14"/>
                <w:szCs w:val="14"/>
              </w:rPr>
            </w:pPr>
            <w:r>
              <w:rPr>
                <w:sz w:val="14"/>
                <w:szCs w:val="14"/>
              </w:rPr>
              <w:t>6.</w:t>
            </w:r>
          </w:p>
        </w:tc>
      </w:tr>
      <w:tr w:rsidR="003C0776" w14:paraId="2099B4CA"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60526B46" w14:textId="77777777" w:rsidR="003C0776" w:rsidRDefault="00000000">
            <w:pPr>
              <w:keepNext/>
              <w:keepLines/>
              <w:rPr>
                <w:sz w:val="14"/>
                <w:szCs w:val="14"/>
              </w:rPr>
            </w:pPr>
            <w:r>
              <w:rPr>
                <w:noProof/>
                <w:sz w:val="14"/>
                <w:szCs w:val="14"/>
              </w:rPr>
              <w:drawing>
                <wp:inline distT="0" distB="0" distL="0" distR="0" wp14:anchorId="3D243452" wp14:editId="30F80083">
                  <wp:extent cx="1325880"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2"/>
                          <a:srcRect/>
                          <a:stretch>
                            <a:fillRect/>
                          </a:stretch>
                        </pic:blipFill>
                        <pic:spPr>
                          <a:xfrm>
                            <a:off x="0" y="0"/>
                            <a:ext cx="132588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54EA3DFC" w14:textId="77777777" w:rsidR="003C0776" w:rsidRDefault="003C0776">
            <w:pPr>
              <w:keepNext/>
              <w:keepLines/>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3958D96B" w14:textId="77777777" w:rsidR="003C0776" w:rsidRDefault="00000000">
            <w:pPr>
              <w:keepNext/>
              <w:keepLines/>
              <w:rPr>
                <w:sz w:val="14"/>
                <w:szCs w:val="14"/>
              </w:rPr>
            </w:pPr>
            <w:r>
              <w:rPr>
                <w:noProof/>
                <w:sz w:val="14"/>
                <w:szCs w:val="14"/>
              </w:rPr>
              <w:drawing>
                <wp:inline distT="0" distB="0" distL="0" distR="0" wp14:anchorId="35386972" wp14:editId="50321BAC">
                  <wp:extent cx="1532890" cy="20142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3"/>
                          <a:srcRect/>
                          <a:stretch>
                            <a:fillRect/>
                          </a:stretch>
                        </pic:blipFill>
                        <pic:spPr>
                          <a:xfrm>
                            <a:off x="0" y="0"/>
                            <a:ext cx="1532890" cy="2014220"/>
                          </a:xfrm>
                          <a:prstGeom prst="rect">
                            <a:avLst/>
                          </a:prstGeom>
                        </pic:spPr>
                      </pic:pic>
                    </a:graphicData>
                  </a:graphic>
                </wp:inline>
              </w:drawing>
            </w:r>
          </w:p>
        </w:tc>
      </w:tr>
      <w:tr w:rsidR="003C0776" w14:paraId="75FCB4E4" w14:textId="77777777">
        <w:tc>
          <w:tcPr>
            <w:tcW w:w="2444" w:type="pct"/>
            <w:tcBorders>
              <w:top w:val="nil"/>
              <w:left w:val="nil"/>
              <w:bottom w:val="nil"/>
              <w:right w:val="nil"/>
            </w:tcBorders>
            <w:shd w:val="clear" w:color="auto" w:fill="auto"/>
            <w:tcMar>
              <w:top w:w="0" w:type="dxa"/>
              <w:left w:w="0" w:type="dxa"/>
              <w:bottom w:w="0" w:type="dxa"/>
              <w:right w:w="0" w:type="dxa"/>
            </w:tcMar>
          </w:tcPr>
          <w:p w14:paraId="43B977D5" w14:textId="77777777" w:rsidR="003C0776" w:rsidRDefault="003C0776">
            <w:pPr>
              <w:keepNext/>
              <w:keepLines/>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14:paraId="3D370709" w14:textId="77777777" w:rsidR="003C0776" w:rsidRDefault="003C0776">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0315CA40" w14:textId="77777777" w:rsidR="003C0776" w:rsidRDefault="003C0776">
            <w:pPr>
              <w:keepNext/>
              <w:keepLines/>
              <w:rPr>
                <w:sz w:val="14"/>
                <w:szCs w:val="14"/>
              </w:rPr>
            </w:pPr>
          </w:p>
        </w:tc>
      </w:tr>
      <w:tr w:rsidR="003C0776" w14:paraId="124BB827" w14:textId="77777777">
        <w:tc>
          <w:tcPr>
            <w:tcW w:w="2444" w:type="pct"/>
            <w:tcBorders>
              <w:top w:val="nil"/>
              <w:left w:val="nil"/>
              <w:bottom w:val="nil"/>
              <w:right w:val="nil"/>
            </w:tcBorders>
            <w:shd w:val="clear" w:color="auto" w:fill="auto"/>
            <w:tcMar>
              <w:top w:w="0" w:type="dxa"/>
              <w:left w:w="0" w:type="dxa"/>
              <w:bottom w:w="0" w:type="dxa"/>
              <w:right w:w="0" w:type="dxa"/>
            </w:tcMar>
          </w:tcPr>
          <w:p w14:paraId="7AB47F25" w14:textId="77777777" w:rsidR="003C0776" w:rsidRDefault="00000000">
            <w:pPr>
              <w:keepNext/>
              <w:keepLines/>
              <w:rPr>
                <w:sz w:val="14"/>
                <w:szCs w:val="14"/>
              </w:rPr>
            </w:pPr>
            <w:r>
              <w:rPr>
                <w:sz w:val="14"/>
                <w:szCs w:val="14"/>
              </w:rPr>
              <w:t>7.</w:t>
            </w:r>
          </w:p>
        </w:tc>
        <w:tc>
          <w:tcPr>
            <w:tcW w:w="112" w:type="pct"/>
            <w:tcBorders>
              <w:top w:val="nil"/>
              <w:left w:val="nil"/>
              <w:bottom w:val="nil"/>
              <w:right w:val="nil"/>
            </w:tcBorders>
            <w:shd w:val="clear" w:color="auto" w:fill="auto"/>
            <w:tcMar>
              <w:top w:w="0" w:type="dxa"/>
              <w:left w:w="0" w:type="dxa"/>
              <w:bottom w:w="0" w:type="dxa"/>
              <w:right w:w="0" w:type="dxa"/>
            </w:tcMar>
          </w:tcPr>
          <w:p w14:paraId="797EA9FF" w14:textId="77777777" w:rsidR="003C0776" w:rsidRDefault="003C0776">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0B4C89B6" w14:textId="77777777" w:rsidR="003C0776" w:rsidRDefault="00000000">
            <w:pPr>
              <w:keepNext/>
              <w:keepLines/>
              <w:rPr>
                <w:sz w:val="14"/>
                <w:szCs w:val="14"/>
              </w:rPr>
            </w:pPr>
            <w:r>
              <w:rPr>
                <w:sz w:val="14"/>
                <w:szCs w:val="14"/>
              </w:rPr>
              <w:t>8.</w:t>
            </w:r>
          </w:p>
        </w:tc>
      </w:tr>
      <w:tr w:rsidR="003C0776" w14:paraId="2ED496EE"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7DE46A02" w14:textId="77777777" w:rsidR="003C0776" w:rsidRDefault="00000000">
            <w:pPr>
              <w:keepNext/>
              <w:keepLines/>
              <w:rPr>
                <w:sz w:val="14"/>
                <w:szCs w:val="14"/>
              </w:rPr>
            </w:pPr>
            <w:r>
              <w:rPr>
                <w:noProof/>
                <w:sz w:val="14"/>
                <w:szCs w:val="14"/>
              </w:rPr>
              <w:drawing>
                <wp:inline distT="0" distB="0" distL="0" distR="0" wp14:anchorId="2D5C667C" wp14:editId="4CD46416">
                  <wp:extent cx="2566035" cy="201422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r:embed="rId14"/>
                          <a:srcRect/>
                          <a:stretch>
                            <a:fillRect/>
                          </a:stretch>
                        </pic:blipFill>
                        <pic:spPr>
                          <a:xfrm>
                            <a:off x="0" y="0"/>
                            <a:ext cx="256603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3EC3D79F" w14:textId="77777777" w:rsidR="003C0776" w:rsidRDefault="003C0776">
            <w:pPr>
              <w:keepNext/>
              <w:keepLines/>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7A33C334" w14:textId="77777777" w:rsidR="003C0776" w:rsidRDefault="00000000">
            <w:pPr>
              <w:keepNext/>
              <w:keepLines/>
              <w:rPr>
                <w:sz w:val="14"/>
                <w:szCs w:val="14"/>
              </w:rPr>
            </w:pPr>
            <w:r>
              <w:rPr>
                <w:noProof/>
                <w:sz w:val="14"/>
                <w:szCs w:val="14"/>
              </w:rPr>
              <w:drawing>
                <wp:inline distT="0" distB="0" distL="0" distR="0" wp14:anchorId="0B106CF2" wp14:editId="1030484C">
                  <wp:extent cx="2849880" cy="201422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dpi="0">
                          <a:blip r:embed="rId15"/>
                          <a:srcRect/>
                          <a:stretch>
                            <a:fillRect/>
                          </a:stretch>
                        </pic:blipFill>
                        <pic:spPr>
                          <a:xfrm>
                            <a:off x="0" y="0"/>
                            <a:ext cx="2849880" cy="2014220"/>
                          </a:xfrm>
                          <a:prstGeom prst="rect">
                            <a:avLst/>
                          </a:prstGeom>
                        </pic:spPr>
                      </pic:pic>
                    </a:graphicData>
                  </a:graphic>
                </wp:inline>
              </w:drawing>
            </w:r>
          </w:p>
        </w:tc>
      </w:tr>
    </w:tbl>
    <w:p w14:paraId="2CAEF7D0" w14:textId="77777777" w:rsidR="003C0776" w:rsidRDefault="00000000">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706"/>
        <w:gridCol w:w="3706"/>
        <w:gridCol w:w="2340"/>
      </w:tblGrid>
      <w:tr w:rsidR="003C0776" w14:paraId="7970BC23" w14:textId="77777777">
        <w:tc>
          <w:tcPr>
            <w:tcW w:w="3800" w:type="pct"/>
            <w:gridSpan w:val="2"/>
            <w:tcBorders>
              <w:top w:val="nil"/>
              <w:left w:val="nil"/>
              <w:bottom w:val="nil"/>
              <w:right w:val="nil"/>
            </w:tcBorders>
            <w:shd w:val="clear" w:color="auto" w:fill="auto"/>
            <w:tcMar>
              <w:top w:w="0" w:type="dxa"/>
              <w:left w:w="0" w:type="dxa"/>
              <w:bottom w:w="0" w:type="dxa"/>
              <w:right w:w="227" w:type="dxa"/>
            </w:tcMar>
          </w:tcPr>
          <w:p w14:paraId="4F65A7C0" w14:textId="77777777" w:rsidR="003C0776" w:rsidRDefault="00000000">
            <w:pPr>
              <w:spacing w:before="240" w:after="240"/>
              <w:rPr>
                <w:sz w:val="20"/>
                <w:szCs w:val="20"/>
              </w:rPr>
            </w:pPr>
            <w:r>
              <w:rPr>
                <w:b/>
                <w:sz w:val="20"/>
                <w:szCs w:val="20"/>
              </w:rPr>
              <w:lastRenderedPageBreak/>
              <w:t>Über TOTO Europe</w:t>
            </w:r>
          </w:p>
          <w:p w14:paraId="09E14BA4" w14:textId="77777777" w:rsidR="003C0776" w:rsidRDefault="00000000">
            <w:pPr>
              <w:spacing w:before="240" w:after="240"/>
              <w:rPr>
                <w:sz w:val="20"/>
                <w:szCs w:val="20"/>
              </w:rPr>
            </w:pPr>
            <w:r>
              <w:rPr>
                <w:sz w:val="20"/>
                <w:szCs w:val="20"/>
              </w:rPr>
              <w:t xml:space="preserve">Bei TOTO, einem der international führenden Sanitärunternehmen mit weltweit 36.000 Mitarbeitenden, steht der Mensch und sein Wohlbefinden im Mittelpunkt. Seit der Gründung 1917 in </w:t>
            </w:r>
            <w:proofErr w:type="spellStart"/>
            <w:r>
              <w:rPr>
                <w:sz w:val="20"/>
                <w:szCs w:val="20"/>
              </w:rPr>
              <w:t>Kitakyushu</w:t>
            </w:r>
            <w:proofErr w:type="spellEnd"/>
            <w:r>
              <w:rPr>
                <w:sz w:val="20"/>
                <w:szCs w:val="20"/>
              </w:rPr>
              <w:t xml:space="preserve">, Japan, entwickelt, produziert und vertreibt TOTO ganzheitliche Badezimmerkonzepte für gehobene Ansprüche – seit 2009 auch in Europa. Das Ziel des Unternehmens ist es, durch Regeneration, Komfort und Hygiene ein neues Lebensgefühl zu schaffen. Einfach in der Handhabung ist die Technik selbst nahezu unsichtbar in das Design integriert. Als Japans führender Komplettbadanbieter präsentiert TOTO innovative Sanitärkeramik, Armaturen und Accessoires und blickt auf über 40 Jahre Erfahrung in der Entwicklung und Herstellung verschiedener WASHLET-Modelle zurück. Weltweit wurden bisher über 60 Millionen Stück davon verkauft. </w:t>
            </w:r>
            <w:r>
              <w:rPr>
                <w:sz w:val="20"/>
                <w:szCs w:val="20"/>
              </w:rPr>
              <w:br/>
              <w:t>TOTO engagiert sich nicht nur intensiv für das menschliche Wohlbefinden, sondern auch für das unseres Planeten. Auf dem Weg zu einem emissionsfreien Unternehmen hat sich TOTO der RE100-Initiative angeschlossen und verfolgt das Ziel, bis 2050 an allen Standorten CO</w:t>
            </w:r>
            <w:r>
              <w:rPr>
                <w:sz w:val="20"/>
                <w:szCs w:val="20"/>
                <w:vertAlign w:val="subscript"/>
              </w:rPr>
              <w:t>2</w:t>
            </w:r>
            <w:r>
              <w:rPr>
                <w:sz w:val="20"/>
                <w:szCs w:val="20"/>
              </w:rPr>
              <w:t xml:space="preserve">-neutral zu werden, vor allem durch die konsequente Nutzung erneuerbarer Energien. Im Einklang mit den Zielen des Pariser Klimaabkommens erhielt TOTO 2021 die Zertifizierung der </w:t>
            </w:r>
            <w:hyperlink r:id="rId16">
              <w:r>
                <w:rPr>
                  <w:rStyle w:val="Hyperlink"/>
                  <w:color w:val="000000"/>
                  <w:sz w:val="20"/>
                  <w:szCs w:val="20"/>
                </w:rPr>
                <w:t xml:space="preserve">Science </w:t>
              </w:r>
              <w:proofErr w:type="spellStart"/>
              <w:r>
                <w:rPr>
                  <w:rStyle w:val="Hyperlink"/>
                  <w:color w:val="000000"/>
                  <w:sz w:val="20"/>
                  <w:szCs w:val="20"/>
                </w:rPr>
                <w:t>Based</w:t>
              </w:r>
              <w:proofErr w:type="spellEnd"/>
              <w:r>
                <w:rPr>
                  <w:rStyle w:val="Hyperlink"/>
                  <w:color w:val="000000"/>
                  <w:sz w:val="20"/>
                  <w:szCs w:val="20"/>
                </w:rPr>
                <w:t xml:space="preserve"> Targets</w:t>
              </w:r>
            </w:hyperlink>
            <w:r>
              <w:rPr>
                <w:sz w:val="20"/>
                <w:szCs w:val="20"/>
              </w:rPr>
              <w:t xml:space="preserve"> Initiative (</w:t>
            </w:r>
            <w:proofErr w:type="spellStart"/>
            <w:r>
              <w:rPr>
                <w:sz w:val="20"/>
                <w:szCs w:val="20"/>
              </w:rPr>
              <w:t>SBTi</w:t>
            </w:r>
            <w:proofErr w:type="spellEnd"/>
            <w:r>
              <w:rPr>
                <w:sz w:val="20"/>
                <w:szCs w:val="20"/>
              </w:rPr>
              <w:t xml:space="preserve">). Darüber hinaus trägt das Unternehmen mit dem Vertrieb und der Entwicklung wassersparender Produkte tagtäglich aktiv zur Ressourcenschonung bei. Bis 2030 soll der Anteil nachhaltiger Produkte im Portfolio zudem auf 83 % steigen, während der Wasserverbrauch durch innovative Technologien erheblich gesenkt wird. Mit diesen Maßnahmen strebt TOTO bis 2050 die vollständige Klimaneutralität an – nachzulesen im </w:t>
            </w:r>
            <w:hyperlink r:id="rId17">
              <w:r>
                <w:rPr>
                  <w:rStyle w:val="Hyperlink"/>
                  <w:color w:val="000000"/>
                  <w:sz w:val="20"/>
                  <w:szCs w:val="20"/>
                </w:rPr>
                <w:t>Integrated Report 2024</w:t>
              </w:r>
            </w:hyperlink>
            <w:r>
              <w:rPr>
                <w:sz w:val="20"/>
                <w:szCs w:val="20"/>
              </w:rPr>
              <w:t>.</w:t>
            </w:r>
          </w:p>
          <w:p w14:paraId="231F92B8" w14:textId="77777777" w:rsidR="003C0776" w:rsidRDefault="00000000">
            <w:pPr>
              <w:spacing w:before="240" w:after="240"/>
              <w:rPr>
                <w:sz w:val="20"/>
                <w:szCs w:val="20"/>
              </w:rPr>
            </w:pPr>
            <w:r>
              <w:rPr>
                <w:sz w:val="20"/>
                <w:szCs w:val="20"/>
              </w:rPr>
              <w:t xml:space="preserve">Mehr über TOTO: </w:t>
            </w:r>
            <w:hyperlink r:id="rId18">
              <w:r>
                <w:rPr>
                  <w:rStyle w:val="Hyperlink"/>
                  <w:color w:val="000000"/>
                  <w:sz w:val="20"/>
                  <w:szCs w:val="20"/>
                </w:rPr>
                <w:t>eu.toto.com</w:t>
              </w:r>
            </w:hyperlink>
          </w:p>
          <w:p w14:paraId="0D4C62E8" w14:textId="77777777" w:rsidR="003C0776" w:rsidRDefault="00000000">
            <w:pPr>
              <w:rPr>
                <w:sz w:val="20"/>
                <w:szCs w:val="20"/>
              </w:rPr>
            </w:pPr>
            <w:r>
              <w:rPr>
                <w:sz w:val="20"/>
                <w:szCs w:val="20"/>
              </w:rPr>
              <w:br/>
            </w:r>
          </w:p>
        </w:tc>
        <w:tc>
          <w:tcPr>
            <w:tcW w:w="1200" w:type="pct"/>
            <w:tcBorders>
              <w:top w:val="nil"/>
              <w:left w:val="nil"/>
              <w:bottom w:val="nil"/>
              <w:right w:val="nil"/>
            </w:tcBorders>
            <w:shd w:val="clear" w:color="auto" w:fill="auto"/>
            <w:tcMar>
              <w:top w:w="0" w:type="dxa"/>
              <w:left w:w="0" w:type="dxa"/>
              <w:bottom w:w="0" w:type="dxa"/>
              <w:right w:w="227" w:type="dxa"/>
            </w:tcMar>
          </w:tcPr>
          <w:p w14:paraId="467B0B63" w14:textId="77777777" w:rsidR="003C0776" w:rsidRDefault="00000000">
            <w:pPr>
              <w:rPr>
                <w:sz w:val="20"/>
                <w:szCs w:val="20"/>
              </w:rPr>
            </w:pPr>
            <w:r>
              <w:rPr>
                <w:sz w:val="20"/>
                <w:szCs w:val="20"/>
              </w:rPr>
              <w:br/>
            </w:r>
          </w:p>
        </w:tc>
      </w:tr>
      <w:tr w:rsidR="003C0776" w14:paraId="44CB59CA" w14:textId="77777777">
        <w:trPr>
          <w:gridAfter w:val="1"/>
          <w:wAfter w:w="1728" w:type="dxa"/>
        </w:trPr>
        <w:tc>
          <w:tcPr>
            <w:tcW w:w="2736" w:type="dxa"/>
            <w:tcBorders>
              <w:top w:val="nil"/>
              <w:left w:val="nil"/>
              <w:bottom w:val="nil"/>
              <w:right w:val="nil"/>
            </w:tcBorders>
            <w:shd w:val="clear" w:color="auto" w:fill="auto"/>
            <w:tcMar>
              <w:top w:w="0" w:type="dxa"/>
              <w:left w:w="0" w:type="dxa"/>
              <w:bottom w:w="0" w:type="dxa"/>
              <w:right w:w="227" w:type="dxa"/>
            </w:tcMar>
          </w:tcPr>
          <w:p w14:paraId="74EE8F7C" w14:textId="77777777" w:rsidR="003C0776" w:rsidRDefault="003C0776">
            <w:pPr>
              <w:rPr>
                <w:sz w:val="20"/>
                <w:szCs w:val="20"/>
              </w:rPr>
            </w:pPr>
          </w:p>
        </w:tc>
        <w:tc>
          <w:tcPr>
            <w:tcW w:w="2736" w:type="dxa"/>
            <w:tcBorders>
              <w:top w:val="nil"/>
              <w:left w:val="nil"/>
              <w:bottom w:val="nil"/>
              <w:right w:val="nil"/>
            </w:tcBorders>
            <w:shd w:val="clear" w:color="auto" w:fill="auto"/>
            <w:tcMar>
              <w:top w:w="0" w:type="dxa"/>
              <w:left w:w="0" w:type="dxa"/>
              <w:bottom w:w="0" w:type="dxa"/>
              <w:right w:w="227" w:type="dxa"/>
            </w:tcMar>
          </w:tcPr>
          <w:p w14:paraId="7F038327" w14:textId="77777777" w:rsidR="003C0776" w:rsidRDefault="003C0776">
            <w:pPr>
              <w:rPr>
                <w:sz w:val="20"/>
                <w:szCs w:val="20"/>
              </w:rPr>
            </w:pPr>
          </w:p>
        </w:tc>
      </w:tr>
    </w:tbl>
    <w:p w14:paraId="48408681" w14:textId="77777777" w:rsidR="003C0776" w:rsidRDefault="003C0776"/>
    <w:sectPr w:rsidR="003C0776">
      <w:headerReference w:type="default" r:id="rId19"/>
      <w:footerReference w:type="default" r:id="rId20"/>
      <w:headerReference w:type="first" r:id="rId21"/>
      <w:footerReference w:type="first" r:id="rId22"/>
      <w:pgSz w:w="11906" w:h="16838"/>
      <w:pgMar w:top="1701" w:right="1020" w:bottom="1701" w:left="1134" w:header="850"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1145DF" w14:textId="77777777" w:rsidR="00B877A0" w:rsidRDefault="00B877A0">
      <w:pPr>
        <w:spacing w:line="240" w:lineRule="auto"/>
      </w:pPr>
      <w:r>
        <w:separator/>
      </w:r>
    </w:p>
  </w:endnote>
  <w:endnote w:type="continuationSeparator" w:id="0">
    <w:p w14:paraId="6652C35F" w14:textId="77777777" w:rsidR="00B877A0" w:rsidRDefault="00B877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Look w:val="04A0" w:firstRow="1" w:lastRow="0" w:firstColumn="1" w:lastColumn="0" w:noHBand="0" w:noVBand="1"/>
    </w:tblPr>
    <w:tblGrid>
      <w:gridCol w:w="9557"/>
      <w:gridCol w:w="195"/>
    </w:tblGrid>
    <w:tr w:rsidR="003C0776" w14:paraId="6F6C1875"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tbl>
          <w:tblPr>
            <w:tblW w:w="5000" w:type="pct"/>
            <w:tblCellSpacing w:w="0" w:type="dxa"/>
            <w:tblBorders>
              <w:top w:val="nil"/>
              <w:left w:val="nil"/>
              <w:bottom w:val="nil"/>
              <w:right w:val="nil"/>
            </w:tblBorders>
            <w:tblCellMar>
              <w:left w:w="0" w:type="dxa"/>
              <w:right w:w="0" w:type="dxa"/>
            </w:tblCellMar>
            <w:tblLook w:val="04A0" w:firstRow="1" w:lastRow="0" w:firstColumn="1" w:lastColumn="0" w:noHBand="0" w:noVBand="1"/>
          </w:tblPr>
          <w:tblGrid>
            <w:gridCol w:w="35"/>
            <w:gridCol w:w="93"/>
            <w:gridCol w:w="1590"/>
            <w:gridCol w:w="35"/>
            <w:gridCol w:w="93"/>
            <w:gridCol w:w="1590"/>
            <w:gridCol w:w="35"/>
            <w:gridCol w:w="93"/>
            <w:gridCol w:w="2151"/>
            <w:gridCol w:w="35"/>
            <w:gridCol w:w="94"/>
            <w:gridCol w:w="1965"/>
            <w:gridCol w:w="35"/>
            <w:gridCol w:w="94"/>
            <w:gridCol w:w="1591"/>
            <w:gridCol w:w="20"/>
          </w:tblGrid>
          <w:tr w:rsidR="003C0776" w:rsidRPr="0030282A" w14:paraId="6DF8D12E" w14:textId="77777777">
            <w:trPr>
              <w:tblCellSpacing w:w="0" w:type="dxa"/>
            </w:trPr>
            <w:tc>
              <w:tcPr>
                <w:tcW w:w="15" w:type="dxa"/>
                <w:tcBorders>
                  <w:left w:val="single" w:sz="6" w:space="0" w:color="000000"/>
                </w:tcBorders>
                <w:shd w:val="clear" w:color="auto" w:fill="FFFFFF"/>
                <w:vAlign w:val="center"/>
                <w:hideMark/>
              </w:tcPr>
              <w:p w14:paraId="7FEBD185" w14:textId="77777777" w:rsidR="003C0776" w:rsidRDefault="00000000">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14D1C7F7" w14:textId="77777777" w:rsidR="003C0776" w:rsidRDefault="00000000">
                <w:pPr>
                  <w:rPr>
                    <w:sz w:val="10"/>
                    <w:szCs w:val="10"/>
                  </w:rPr>
                </w:pPr>
                <w:r>
                  <w:rPr>
                    <w:sz w:val="10"/>
                    <w:szCs w:val="10"/>
                  </w:rPr>
                  <w:t> </w:t>
                </w:r>
              </w:p>
            </w:tc>
            <w:tc>
              <w:tcPr>
                <w:tcW w:w="850" w:type="pct"/>
                <w:vAlign w:val="center"/>
                <w:hideMark/>
              </w:tcPr>
              <w:p w14:paraId="4EF110E4" w14:textId="77777777" w:rsidR="003C0776" w:rsidRDefault="00000000">
                <w:pPr>
                  <w:rPr>
                    <w:sz w:val="10"/>
                    <w:szCs w:val="10"/>
                  </w:rPr>
                </w:pPr>
                <w:r>
                  <w:rPr>
                    <w:b/>
                    <w:sz w:val="10"/>
                    <w:szCs w:val="10"/>
                  </w:rPr>
                  <w:t>TOTO Europe GmbH</w:t>
                </w:r>
                <w:r>
                  <w:rPr>
                    <w:b/>
                    <w:sz w:val="10"/>
                    <w:szCs w:val="10"/>
                  </w:rPr>
                  <w:br/>
                </w:r>
                <w:r>
                  <w:rPr>
                    <w:sz w:val="10"/>
                    <w:szCs w:val="10"/>
                  </w:rPr>
                  <w:t>Zollhof 2</w:t>
                </w:r>
                <w:r>
                  <w:rPr>
                    <w:sz w:val="10"/>
                    <w:szCs w:val="10"/>
                  </w:rPr>
                  <w:br/>
                  <w:t>40221 Düsseldorf</w:t>
                </w:r>
                <w:r>
                  <w:rPr>
                    <w:sz w:val="10"/>
                    <w:szCs w:val="10"/>
                  </w:rPr>
                  <w:br/>
                  <w:t>Germany</w:t>
                </w:r>
              </w:p>
            </w:tc>
            <w:tc>
              <w:tcPr>
                <w:tcW w:w="15" w:type="dxa"/>
                <w:tcBorders>
                  <w:left w:val="single" w:sz="6" w:space="0" w:color="000000"/>
                </w:tcBorders>
                <w:shd w:val="clear" w:color="auto" w:fill="FFFFFF"/>
                <w:vAlign w:val="center"/>
                <w:hideMark/>
              </w:tcPr>
              <w:p w14:paraId="1121E395" w14:textId="77777777" w:rsidR="003C0776" w:rsidRDefault="00000000">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5C247C0E" w14:textId="77777777" w:rsidR="003C0776" w:rsidRDefault="00000000">
                <w:pPr>
                  <w:rPr>
                    <w:sz w:val="10"/>
                    <w:szCs w:val="10"/>
                  </w:rPr>
                </w:pPr>
                <w:r>
                  <w:rPr>
                    <w:sz w:val="10"/>
                    <w:szCs w:val="10"/>
                  </w:rPr>
                  <w:t> </w:t>
                </w:r>
              </w:p>
            </w:tc>
            <w:tc>
              <w:tcPr>
                <w:tcW w:w="850" w:type="pct"/>
                <w:vAlign w:val="center"/>
                <w:hideMark/>
              </w:tcPr>
              <w:p w14:paraId="7EB81660" w14:textId="77777777" w:rsidR="003C0776" w:rsidRDefault="00000000">
                <w:pPr>
                  <w:rPr>
                    <w:sz w:val="10"/>
                    <w:szCs w:val="10"/>
                  </w:rPr>
                </w:pPr>
                <w:r>
                  <w:rPr>
                    <w:sz w:val="10"/>
                    <w:szCs w:val="10"/>
                  </w:rPr>
                  <w:t>T +49 (0)211 2 73 08-200</w:t>
                </w:r>
                <w:r>
                  <w:rPr>
                    <w:sz w:val="10"/>
                    <w:szCs w:val="10"/>
                  </w:rPr>
                  <w:br/>
                  <w:t>F +49 (0)211 2 73 08-202</w:t>
                </w:r>
                <w:r>
                  <w:rPr>
                    <w:sz w:val="10"/>
                    <w:szCs w:val="10"/>
                  </w:rPr>
                  <w:br/>
                  <w:t>teu.info@toto.com</w:t>
                </w:r>
                <w:r>
                  <w:rPr>
                    <w:sz w:val="10"/>
                    <w:szCs w:val="10"/>
                  </w:rPr>
                  <w:br/>
                  <w:t>eu.toto.com</w:t>
                </w:r>
              </w:p>
            </w:tc>
            <w:tc>
              <w:tcPr>
                <w:tcW w:w="15" w:type="dxa"/>
                <w:tcBorders>
                  <w:left w:val="single" w:sz="6" w:space="0" w:color="000000"/>
                </w:tcBorders>
                <w:shd w:val="clear" w:color="auto" w:fill="FFFFFF"/>
                <w:vAlign w:val="center"/>
                <w:hideMark/>
              </w:tcPr>
              <w:p w14:paraId="773F534A" w14:textId="77777777" w:rsidR="003C0776" w:rsidRDefault="00000000">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536B25CF" w14:textId="77777777" w:rsidR="003C0776" w:rsidRDefault="00000000">
                <w:pPr>
                  <w:rPr>
                    <w:sz w:val="10"/>
                    <w:szCs w:val="10"/>
                  </w:rPr>
                </w:pPr>
                <w:r>
                  <w:rPr>
                    <w:sz w:val="10"/>
                    <w:szCs w:val="10"/>
                  </w:rPr>
                  <w:t> </w:t>
                </w:r>
              </w:p>
            </w:tc>
            <w:tc>
              <w:tcPr>
                <w:tcW w:w="1150" w:type="pct"/>
                <w:vAlign w:val="center"/>
                <w:hideMark/>
              </w:tcPr>
              <w:p w14:paraId="50964DA4" w14:textId="77777777" w:rsidR="003C0776" w:rsidRDefault="00000000">
                <w:pPr>
                  <w:rPr>
                    <w:sz w:val="10"/>
                    <w:szCs w:val="10"/>
                  </w:rPr>
                </w:pPr>
                <w:r>
                  <w:rPr>
                    <w:sz w:val="10"/>
                    <w:szCs w:val="10"/>
                  </w:rPr>
                  <w:t>Commerzbank AG Essen</w:t>
                </w:r>
                <w:r>
                  <w:rPr>
                    <w:sz w:val="10"/>
                    <w:szCs w:val="10"/>
                  </w:rPr>
                  <w:br/>
                  <w:t xml:space="preserve">BLZ: 360 400 </w:t>
                </w:r>
                <w:proofErr w:type="gramStart"/>
                <w:r>
                  <w:rPr>
                    <w:sz w:val="10"/>
                    <w:szCs w:val="10"/>
                  </w:rPr>
                  <w:t>39 .</w:t>
                </w:r>
                <w:proofErr w:type="gramEnd"/>
                <w:r>
                  <w:rPr>
                    <w:sz w:val="10"/>
                    <w:szCs w:val="10"/>
                  </w:rPr>
                  <w:t xml:space="preserve"> KTO: 150 6211</w:t>
                </w:r>
                <w:r>
                  <w:rPr>
                    <w:sz w:val="10"/>
                    <w:szCs w:val="10"/>
                  </w:rPr>
                  <w:br/>
                  <w:t>IBAN: DE 32 36040039 0150621100</w:t>
                </w:r>
                <w:r>
                  <w:rPr>
                    <w:sz w:val="10"/>
                    <w:szCs w:val="10"/>
                  </w:rPr>
                  <w:br/>
                  <w:t>BIC: COBADEFF360</w:t>
                </w:r>
              </w:p>
            </w:tc>
            <w:tc>
              <w:tcPr>
                <w:tcW w:w="15" w:type="dxa"/>
                <w:tcBorders>
                  <w:left w:val="single" w:sz="6" w:space="0" w:color="000000"/>
                </w:tcBorders>
                <w:shd w:val="clear" w:color="auto" w:fill="FFFFFF"/>
                <w:vAlign w:val="center"/>
                <w:hideMark/>
              </w:tcPr>
              <w:p w14:paraId="312D6572" w14:textId="77777777" w:rsidR="003C0776" w:rsidRDefault="00000000">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35998A3A" w14:textId="77777777" w:rsidR="003C0776" w:rsidRDefault="00000000">
                <w:pPr>
                  <w:rPr>
                    <w:sz w:val="10"/>
                    <w:szCs w:val="10"/>
                  </w:rPr>
                </w:pPr>
                <w:r>
                  <w:rPr>
                    <w:sz w:val="10"/>
                    <w:szCs w:val="10"/>
                  </w:rPr>
                  <w:t> </w:t>
                </w:r>
              </w:p>
            </w:tc>
            <w:tc>
              <w:tcPr>
                <w:tcW w:w="1050" w:type="pct"/>
                <w:vAlign w:val="center"/>
                <w:hideMark/>
              </w:tcPr>
              <w:p w14:paraId="5E58954E" w14:textId="77777777" w:rsidR="003C0776" w:rsidRDefault="00000000">
                <w:pPr>
                  <w:rPr>
                    <w:sz w:val="10"/>
                    <w:szCs w:val="10"/>
                  </w:rPr>
                </w:pPr>
                <w:r>
                  <w:rPr>
                    <w:sz w:val="10"/>
                    <w:szCs w:val="10"/>
                  </w:rPr>
                  <w:t xml:space="preserve">AG </w:t>
                </w:r>
                <w:proofErr w:type="gramStart"/>
                <w:r>
                  <w:rPr>
                    <w:sz w:val="10"/>
                    <w:szCs w:val="10"/>
                  </w:rPr>
                  <w:t>Düsseldorf .</w:t>
                </w:r>
                <w:proofErr w:type="gramEnd"/>
                <w:r>
                  <w:rPr>
                    <w:sz w:val="10"/>
                    <w:szCs w:val="10"/>
                  </w:rPr>
                  <w:t xml:space="preserve"> HRB 24827</w:t>
                </w:r>
                <w:r>
                  <w:rPr>
                    <w:sz w:val="10"/>
                    <w:szCs w:val="10"/>
                  </w:rPr>
                  <w:br/>
                  <w:t xml:space="preserve">Managing </w:t>
                </w:r>
                <w:proofErr w:type="spellStart"/>
                <w:r>
                  <w:rPr>
                    <w:sz w:val="10"/>
                    <w:szCs w:val="10"/>
                  </w:rPr>
                  <w:t>Directors</w:t>
                </w:r>
                <w:proofErr w:type="spellEnd"/>
                <w:r>
                  <w:rPr>
                    <w:sz w:val="10"/>
                    <w:szCs w:val="10"/>
                  </w:rPr>
                  <w:t>:</w:t>
                </w:r>
                <w:r>
                  <w:rPr>
                    <w:sz w:val="10"/>
                    <w:szCs w:val="10"/>
                  </w:rPr>
                  <w:br/>
                </w:r>
                <w:proofErr w:type="spellStart"/>
                <w:r>
                  <w:rPr>
                    <w:sz w:val="10"/>
                    <w:szCs w:val="10"/>
                  </w:rPr>
                  <w:t>Shinya</w:t>
                </w:r>
                <w:proofErr w:type="spellEnd"/>
                <w:r>
                  <w:rPr>
                    <w:sz w:val="10"/>
                    <w:szCs w:val="10"/>
                  </w:rPr>
                  <w:t xml:space="preserve"> </w:t>
                </w:r>
                <w:proofErr w:type="spellStart"/>
                <w:r>
                  <w:rPr>
                    <w:sz w:val="10"/>
                    <w:szCs w:val="10"/>
                  </w:rPr>
                  <w:t>Tamura</w:t>
                </w:r>
                <w:proofErr w:type="spellEnd"/>
                <w:r>
                  <w:rPr>
                    <w:sz w:val="10"/>
                    <w:szCs w:val="10"/>
                  </w:rPr>
                  <w:t xml:space="preserve">, </w:t>
                </w:r>
                <w:proofErr w:type="spellStart"/>
                <w:r>
                  <w:rPr>
                    <w:sz w:val="10"/>
                    <w:szCs w:val="10"/>
                  </w:rPr>
                  <w:t>Tatsuhiko</w:t>
                </w:r>
                <w:proofErr w:type="spellEnd"/>
                <w:r>
                  <w:rPr>
                    <w:sz w:val="10"/>
                    <w:szCs w:val="10"/>
                  </w:rPr>
                  <w:t xml:space="preserve"> </w:t>
                </w:r>
                <w:proofErr w:type="spellStart"/>
                <w:r>
                  <w:rPr>
                    <w:sz w:val="10"/>
                    <w:szCs w:val="10"/>
                  </w:rPr>
                  <w:t>Yasaka</w:t>
                </w:r>
                <w:proofErr w:type="spellEnd"/>
                <w:r>
                  <w:rPr>
                    <w:sz w:val="10"/>
                    <w:szCs w:val="10"/>
                  </w:rPr>
                  <w:br/>
                  <w:t>  </w:t>
                </w:r>
              </w:p>
            </w:tc>
            <w:tc>
              <w:tcPr>
                <w:tcW w:w="15" w:type="dxa"/>
                <w:tcBorders>
                  <w:left w:val="single" w:sz="6" w:space="0" w:color="000000"/>
                </w:tcBorders>
                <w:shd w:val="clear" w:color="auto" w:fill="FFFFFF"/>
                <w:vAlign w:val="center"/>
                <w:hideMark/>
              </w:tcPr>
              <w:p w14:paraId="0764C10F" w14:textId="77777777" w:rsidR="003C0776" w:rsidRDefault="00000000">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3F4F0942" w14:textId="77777777" w:rsidR="003C0776" w:rsidRDefault="00000000">
                <w:pPr>
                  <w:rPr>
                    <w:sz w:val="10"/>
                    <w:szCs w:val="10"/>
                  </w:rPr>
                </w:pPr>
                <w:r>
                  <w:rPr>
                    <w:sz w:val="10"/>
                    <w:szCs w:val="10"/>
                  </w:rPr>
                  <w:t> </w:t>
                </w:r>
              </w:p>
            </w:tc>
            <w:tc>
              <w:tcPr>
                <w:tcW w:w="850" w:type="pct"/>
                <w:vAlign w:val="center"/>
                <w:hideMark/>
              </w:tcPr>
              <w:p w14:paraId="5622F447" w14:textId="77777777" w:rsidR="003C0776" w:rsidRPr="0030282A" w:rsidRDefault="00000000">
                <w:pPr>
                  <w:rPr>
                    <w:sz w:val="10"/>
                    <w:szCs w:val="10"/>
                    <w:lang w:val="en-US"/>
                  </w:rPr>
                </w:pPr>
                <w:r w:rsidRPr="0030282A">
                  <w:rPr>
                    <w:sz w:val="10"/>
                    <w:szCs w:val="10"/>
                    <w:lang w:val="en-US"/>
                  </w:rPr>
                  <w:t>WEEE-Reg.-Nr. DE 88787165</w:t>
                </w:r>
                <w:r w:rsidRPr="0030282A">
                  <w:rPr>
                    <w:sz w:val="10"/>
                    <w:szCs w:val="10"/>
                    <w:lang w:val="en-US"/>
                  </w:rPr>
                  <w:br/>
                  <w:t>USTID-NR: DE258501442</w:t>
                </w:r>
                <w:r w:rsidRPr="0030282A">
                  <w:rPr>
                    <w:sz w:val="10"/>
                    <w:szCs w:val="10"/>
                    <w:lang w:val="en-US"/>
                  </w:rPr>
                  <w:br/>
                  <w:t>ST-NR: 106/5727/1323</w:t>
                </w:r>
                <w:r w:rsidRPr="0030282A">
                  <w:rPr>
                    <w:sz w:val="10"/>
                    <w:szCs w:val="10"/>
                    <w:lang w:val="en-US"/>
                  </w:rPr>
                  <w:br/>
                  <w:t>  </w:t>
                </w:r>
              </w:p>
            </w:tc>
            <w:tc>
              <w:tcPr>
                <w:tcW w:w="28" w:type="dxa"/>
                <w:vAlign w:val="center"/>
                <w:hideMark/>
              </w:tcPr>
              <w:p w14:paraId="160236B1" w14:textId="77777777" w:rsidR="003C0776" w:rsidRPr="0030282A" w:rsidRDefault="00000000">
                <w:pPr>
                  <w:rPr>
                    <w:sz w:val="10"/>
                    <w:szCs w:val="10"/>
                    <w:lang w:val="en-US"/>
                  </w:rPr>
                </w:pPr>
                <w:r w:rsidRPr="0030282A">
                  <w:rPr>
                    <w:sz w:val="10"/>
                    <w:szCs w:val="10"/>
                    <w:lang w:val="en-US"/>
                  </w:rPr>
                  <w:t> </w:t>
                </w:r>
              </w:p>
            </w:tc>
          </w:tr>
        </w:tbl>
        <w:p w14:paraId="7D7DCA58" w14:textId="77777777" w:rsidR="003C0776" w:rsidRPr="0030282A" w:rsidRDefault="003C0776">
          <w:pPr>
            <w:rPr>
              <w:sz w:val="10"/>
              <w:szCs w:val="10"/>
              <w:lang w:val="en-US"/>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5DC87CE4" w14:textId="77777777" w:rsidR="003C0776" w:rsidRDefault="00000000">
          <w:pPr>
            <w:rPr>
              <w:sz w:val="10"/>
              <w:szCs w:val="10"/>
            </w:rPr>
          </w:pPr>
          <w:r>
            <w:rPr>
              <w:sz w:val="10"/>
              <w:szCs w:val="10"/>
            </w:rPr>
            <w:fldChar w:fldCharType="begin"/>
          </w:r>
          <w:r>
            <w:rPr>
              <w:sz w:val="10"/>
              <w:szCs w:val="10"/>
            </w:rPr>
            <w:instrText>PAGE \* ARABIC</w:instrText>
          </w:r>
          <w:r>
            <w:rPr>
              <w:sz w:val="10"/>
              <w:szCs w:val="10"/>
            </w:rPr>
            <w:fldChar w:fldCharType="separate"/>
          </w:r>
          <w:r>
            <w:rPr>
              <w:sz w:val="10"/>
              <w:szCs w:val="10"/>
            </w:rPr>
            <w:t>#</w:t>
          </w:r>
          <w:r>
            <w:rPr>
              <w:sz w:val="10"/>
              <w:szCs w:val="10"/>
            </w:rPr>
            <w:fldChar w:fldCharType="end"/>
          </w:r>
        </w:p>
      </w:tc>
    </w:tr>
  </w:tbl>
  <w:p w14:paraId="20F33458" w14:textId="77777777" w:rsidR="003C0776" w:rsidRDefault="003C0776">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3C0776" w:rsidRPr="0030282A" w14:paraId="2076F3DD"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tbl>
          <w:tblPr>
            <w:tblW w:w="5000" w:type="pct"/>
            <w:tblCellSpacing w:w="0" w:type="dxa"/>
            <w:tblBorders>
              <w:top w:val="nil"/>
              <w:left w:val="nil"/>
              <w:bottom w:val="nil"/>
              <w:right w:val="nil"/>
            </w:tblBorders>
            <w:tblCellMar>
              <w:left w:w="0" w:type="dxa"/>
              <w:right w:w="0" w:type="dxa"/>
            </w:tblCellMar>
            <w:tblLook w:val="04A0" w:firstRow="1" w:lastRow="0" w:firstColumn="1" w:lastColumn="0" w:noHBand="0" w:noVBand="1"/>
          </w:tblPr>
          <w:tblGrid>
            <w:gridCol w:w="35"/>
            <w:gridCol w:w="93"/>
            <w:gridCol w:w="1590"/>
            <w:gridCol w:w="35"/>
            <w:gridCol w:w="93"/>
            <w:gridCol w:w="1590"/>
            <w:gridCol w:w="35"/>
            <w:gridCol w:w="93"/>
            <w:gridCol w:w="2151"/>
            <w:gridCol w:w="35"/>
            <w:gridCol w:w="94"/>
            <w:gridCol w:w="1965"/>
            <w:gridCol w:w="35"/>
            <w:gridCol w:w="94"/>
            <w:gridCol w:w="1591"/>
            <w:gridCol w:w="20"/>
          </w:tblGrid>
          <w:tr w:rsidR="003C0776" w:rsidRPr="0030282A" w14:paraId="169E5553" w14:textId="77777777">
            <w:trPr>
              <w:tblCellSpacing w:w="0" w:type="dxa"/>
            </w:trPr>
            <w:tc>
              <w:tcPr>
                <w:tcW w:w="15" w:type="dxa"/>
                <w:tcBorders>
                  <w:left w:val="single" w:sz="6" w:space="0" w:color="000000"/>
                </w:tcBorders>
                <w:shd w:val="clear" w:color="auto" w:fill="FFFFFF"/>
                <w:vAlign w:val="center"/>
                <w:hideMark/>
              </w:tcPr>
              <w:p w14:paraId="1002C5FE" w14:textId="77777777" w:rsidR="003C0776" w:rsidRDefault="00000000">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557257BF" w14:textId="77777777" w:rsidR="003C0776" w:rsidRDefault="00000000">
                <w:pPr>
                  <w:rPr>
                    <w:sz w:val="10"/>
                    <w:szCs w:val="10"/>
                  </w:rPr>
                </w:pPr>
                <w:r>
                  <w:rPr>
                    <w:sz w:val="10"/>
                    <w:szCs w:val="10"/>
                  </w:rPr>
                  <w:t> </w:t>
                </w:r>
              </w:p>
            </w:tc>
            <w:tc>
              <w:tcPr>
                <w:tcW w:w="850" w:type="pct"/>
                <w:vAlign w:val="center"/>
                <w:hideMark/>
              </w:tcPr>
              <w:p w14:paraId="1E9D1640" w14:textId="77777777" w:rsidR="003C0776" w:rsidRDefault="00000000">
                <w:pPr>
                  <w:rPr>
                    <w:sz w:val="10"/>
                    <w:szCs w:val="10"/>
                  </w:rPr>
                </w:pPr>
                <w:r>
                  <w:rPr>
                    <w:b/>
                    <w:sz w:val="10"/>
                    <w:szCs w:val="10"/>
                  </w:rPr>
                  <w:t>TOTO Europe GmbH</w:t>
                </w:r>
                <w:r>
                  <w:rPr>
                    <w:b/>
                    <w:sz w:val="10"/>
                    <w:szCs w:val="10"/>
                  </w:rPr>
                  <w:br/>
                </w:r>
                <w:r>
                  <w:rPr>
                    <w:sz w:val="10"/>
                    <w:szCs w:val="10"/>
                  </w:rPr>
                  <w:t>Zollhof 2</w:t>
                </w:r>
                <w:r>
                  <w:rPr>
                    <w:sz w:val="10"/>
                    <w:szCs w:val="10"/>
                  </w:rPr>
                  <w:br/>
                  <w:t>40221 Düsseldorf</w:t>
                </w:r>
                <w:r>
                  <w:rPr>
                    <w:sz w:val="10"/>
                    <w:szCs w:val="10"/>
                  </w:rPr>
                  <w:br/>
                  <w:t>Germany</w:t>
                </w:r>
              </w:p>
            </w:tc>
            <w:tc>
              <w:tcPr>
                <w:tcW w:w="15" w:type="dxa"/>
                <w:tcBorders>
                  <w:left w:val="single" w:sz="6" w:space="0" w:color="000000"/>
                </w:tcBorders>
                <w:shd w:val="clear" w:color="auto" w:fill="FFFFFF"/>
                <w:vAlign w:val="center"/>
                <w:hideMark/>
              </w:tcPr>
              <w:p w14:paraId="0B6B6341" w14:textId="77777777" w:rsidR="003C0776" w:rsidRDefault="00000000">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31CB6B76" w14:textId="77777777" w:rsidR="003C0776" w:rsidRDefault="00000000">
                <w:pPr>
                  <w:rPr>
                    <w:sz w:val="10"/>
                    <w:szCs w:val="10"/>
                  </w:rPr>
                </w:pPr>
                <w:r>
                  <w:rPr>
                    <w:sz w:val="10"/>
                    <w:szCs w:val="10"/>
                  </w:rPr>
                  <w:t> </w:t>
                </w:r>
              </w:p>
            </w:tc>
            <w:tc>
              <w:tcPr>
                <w:tcW w:w="850" w:type="pct"/>
                <w:vAlign w:val="center"/>
                <w:hideMark/>
              </w:tcPr>
              <w:p w14:paraId="63E66635" w14:textId="77777777" w:rsidR="003C0776" w:rsidRDefault="00000000">
                <w:pPr>
                  <w:rPr>
                    <w:sz w:val="10"/>
                    <w:szCs w:val="10"/>
                  </w:rPr>
                </w:pPr>
                <w:r>
                  <w:rPr>
                    <w:sz w:val="10"/>
                    <w:szCs w:val="10"/>
                  </w:rPr>
                  <w:t>T +49 (0)211 2 73 08-200</w:t>
                </w:r>
                <w:r>
                  <w:rPr>
                    <w:sz w:val="10"/>
                    <w:szCs w:val="10"/>
                  </w:rPr>
                  <w:br/>
                  <w:t>F +49 (0)211 2 73 08-202</w:t>
                </w:r>
                <w:r>
                  <w:rPr>
                    <w:sz w:val="10"/>
                    <w:szCs w:val="10"/>
                  </w:rPr>
                  <w:br/>
                  <w:t>teu.info@toto.com</w:t>
                </w:r>
                <w:r>
                  <w:rPr>
                    <w:sz w:val="10"/>
                    <w:szCs w:val="10"/>
                  </w:rPr>
                  <w:br/>
                  <w:t>eu.toto.com</w:t>
                </w:r>
              </w:p>
            </w:tc>
            <w:tc>
              <w:tcPr>
                <w:tcW w:w="15" w:type="dxa"/>
                <w:tcBorders>
                  <w:left w:val="single" w:sz="6" w:space="0" w:color="000000"/>
                </w:tcBorders>
                <w:shd w:val="clear" w:color="auto" w:fill="FFFFFF"/>
                <w:vAlign w:val="center"/>
                <w:hideMark/>
              </w:tcPr>
              <w:p w14:paraId="18EBDF04" w14:textId="77777777" w:rsidR="003C0776" w:rsidRDefault="00000000">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2BD7552D" w14:textId="77777777" w:rsidR="003C0776" w:rsidRDefault="00000000">
                <w:pPr>
                  <w:rPr>
                    <w:sz w:val="10"/>
                    <w:szCs w:val="10"/>
                  </w:rPr>
                </w:pPr>
                <w:r>
                  <w:rPr>
                    <w:sz w:val="10"/>
                    <w:szCs w:val="10"/>
                  </w:rPr>
                  <w:t> </w:t>
                </w:r>
              </w:p>
            </w:tc>
            <w:tc>
              <w:tcPr>
                <w:tcW w:w="1150" w:type="pct"/>
                <w:vAlign w:val="center"/>
                <w:hideMark/>
              </w:tcPr>
              <w:p w14:paraId="7EEB6614" w14:textId="77777777" w:rsidR="003C0776" w:rsidRDefault="00000000">
                <w:pPr>
                  <w:rPr>
                    <w:sz w:val="10"/>
                    <w:szCs w:val="10"/>
                  </w:rPr>
                </w:pPr>
                <w:r>
                  <w:rPr>
                    <w:sz w:val="10"/>
                    <w:szCs w:val="10"/>
                  </w:rPr>
                  <w:t>Commerzbank AG Essen</w:t>
                </w:r>
                <w:r>
                  <w:rPr>
                    <w:sz w:val="10"/>
                    <w:szCs w:val="10"/>
                  </w:rPr>
                  <w:br/>
                  <w:t xml:space="preserve">BLZ: 360 400 </w:t>
                </w:r>
                <w:proofErr w:type="gramStart"/>
                <w:r>
                  <w:rPr>
                    <w:sz w:val="10"/>
                    <w:szCs w:val="10"/>
                  </w:rPr>
                  <w:t>39 .</w:t>
                </w:r>
                <w:proofErr w:type="gramEnd"/>
                <w:r>
                  <w:rPr>
                    <w:sz w:val="10"/>
                    <w:szCs w:val="10"/>
                  </w:rPr>
                  <w:t xml:space="preserve"> KTO: 150 6211</w:t>
                </w:r>
                <w:r>
                  <w:rPr>
                    <w:sz w:val="10"/>
                    <w:szCs w:val="10"/>
                  </w:rPr>
                  <w:br/>
                  <w:t>IBAN: DE 32 36040039 0150621100</w:t>
                </w:r>
                <w:r>
                  <w:rPr>
                    <w:sz w:val="10"/>
                    <w:szCs w:val="10"/>
                  </w:rPr>
                  <w:br/>
                  <w:t>BIC: COBADEFF360</w:t>
                </w:r>
              </w:p>
            </w:tc>
            <w:tc>
              <w:tcPr>
                <w:tcW w:w="15" w:type="dxa"/>
                <w:tcBorders>
                  <w:left w:val="single" w:sz="6" w:space="0" w:color="000000"/>
                </w:tcBorders>
                <w:shd w:val="clear" w:color="auto" w:fill="FFFFFF"/>
                <w:vAlign w:val="center"/>
                <w:hideMark/>
              </w:tcPr>
              <w:p w14:paraId="27B7F917" w14:textId="77777777" w:rsidR="003C0776" w:rsidRDefault="00000000">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57DBA984" w14:textId="77777777" w:rsidR="003C0776" w:rsidRDefault="00000000">
                <w:pPr>
                  <w:rPr>
                    <w:sz w:val="10"/>
                    <w:szCs w:val="10"/>
                  </w:rPr>
                </w:pPr>
                <w:r>
                  <w:rPr>
                    <w:sz w:val="10"/>
                    <w:szCs w:val="10"/>
                  </w:rPr>
                  <w:t> </w:t>
                </w:r>
              </w:p>
            </w:tc>
            <w:tc>
              <w:tcPr>
                <w:tcW w:w="1050" w:type="pct"/>
                <w:vAlign w:val="center"/>
                <w:hideMark/>
              </w:tcPr>
              <w:p w14:paraId="210315B5" w14:textId="77777777" w:rsidR="003C0776" w:rsidRDefault="00000000">
                <w:pPr>
                  <w:rPr>
                    <w:sz w:val="10"/>
                    <w:szCs w:val="10"/>
                  </w:rPr>
                </w:pPr>
                <w:r>
                  <w:rPr>
                    <w:sz w:val="10"/>
                    <w:szCs w:val="10"/>
                  </w:rPr>
                  <w:t xml:space="preserve">AG </w:t>
                </w:r>
                <w:proofErr w:type="gramStart"/>
                <w:r>
                  <w:rPr>
                    <w:sz w:val="10"/>
                    <w:szCs w:val="10"/>
                  </w:rPr>
                  <w:t>Düsseldorf .</w:t>
                </w:r>
                <w:proofErr w:type="gramEnd"/>
                <w:r>
                  <w:rPr>
                    <w:sz w:val="10"/>
                    <w:szCs w:val="10"/>
                  </w:rPr>
                  <w:t xml:space="preserve"> HRB 24827</w:t>
                </w:r>
                <w:r>
                  <w:rPr>
                    <w:sz w:val="10"/>
                    <w:szCs w:val="10"/>
                  </w:rPr>
                  <w:br/>
                  <w:t xml:space="preserve">Managing </w:t>
                </w:r>
                <w:proofErr w:type="spellStart"/>
                <w:r>
                  <w:rPr>
                    <w:sz w:val="10"/>
                    <w:szCs w:val="10"/>
                  </w:rPr>
                  <w:t>Directors</w:t>
                </w:r>
                <w:proofErr w:type="spellEnd"/>
                <w:r>
                  <w:rPr>
                    <w:sz w:val="10"/>
                    <w:szCs w:val="10"/>
                  </w:rPr>
                  <w:t>:</w:t>
                </w:r>
                <w:r>
                  <w:rPr>
                    <w:sz w:val="10"/>
                    <w:szCs w:val="10"/>
                  </w:rPr>
                  <w:br/>
                </w:r>
                <w:proofErr w:type="spellStart"/>
                <w:r>
                  <w:rPr>
                    <w:sz w:val="10"/>
                    <w:szCs w:val="10"/>
                  </w:rPr>
                  <w:t>Shinya</w:t>
                </w:r>
                <w:proofErr w:type="spellEnd"/>
                <w:r>
                  <w:rPr>
                    <w:sz w:val="10"/>
                    <w:szCs w:val="10"/>
                  </w:rPr>
                  <w:t xml:space="preserve"> </w:t>
                </w:r>
                <w:proofErr w:type="spellStart"/>
                <w:r>
                  <w:rPr>
                    <w:sz w:val="10"/>
                    <w:szCs w:val="10"/>
                  </w:rPr>
                  <w:t>Tamura</w:t>
                </w:r>
                <w:proofErr w:type="spellEnd"/>
                <w:r>
                  <w:rPr>
                    <w:sz w:val="10"/>
                    <w:szCs w:val="10"/>
                  </w:rPr>
                  <w:t xml:space="preserve">, </w:t>
                </w:r>
                <w:proofErr w:type="spellStart"/>
                <w:r>
                  <w:rPr>
                    <w:sz w:val="10"/>
                    <w:szCs w:val="10"/>
                  </w:rPr>
                  <w:t>Tatsuhiko</w:t>
                </w:r>
                <w:proofErr w:type="spellEnd"/>
                <w:r>
                  <w:rPr>
                    <w:sz w:val="10"/>
                    <w:szCs w:val="10"/>
                  </w:rPr>
                  <w:t xml:space="preserve"> </w:t>
                </w:r>
                <w:proofErr w:type="spellStart"/>
                <w:r>
                  <w:rPr>
                    <w:sz w:val="10"/>
                    <w:szCs w:val="10"/>
                  </w:rPr>
                  <w:t>Yasaka</w:t>
                </w:r>
                <w:proofErr w:type="spellEnd"/>
              </w:p>
            </w:tc>
            <w:tc>
              <w:tcPr>
                <w:tcW w:w="15" w:type="dxa"/>
                <w:tcBorders>
                  <w:left w:val="single" w:sz="6" w:space="0" w:color="000000"/>
                </w:tcBorders>
                <w:shd w:val="clear" w:color="auto" w:fill="FFFFFF"/>
                <w:vAlign w:val="center"/>
                <w:hideMark/>
              </w:tcPr>
              <w:p w14:paraId="0E6471AF" w14:textId="77777777" w:rsidR="003C0776" w:rsidRDefault="00000000">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3E6A1181" w14:textId="77777777" w:rsidR="003C0776" w:rsidRDefault="00000000">
                <w:pPr>
                  <w:rPr>
                    <w:sz w:val="10"/>
                    <w:szCs w:val="10"/>
                  </w:rPr>
                </w:pPr>
                <w:r>
                  <w:rPr>
                    <w:sz w:val="10"/>
                    <w:szCs w:val="10"/>
                  </w:rPr>
                  <w:t> </w:t>
                </w:r>
              </w:p>
            </w:tc>
            <w:tc>
              <w:tcPr>
                <w:tcW w:w="850" w:type="pct"/>
                <w:vAlign w:val="center"/>
                <w:hideMark/>
              </w:tcPr>
              <w:p w14:paraId="062E4DEB" w14:textId="77777777" w:rsidR="003C0776" w:rsidRPr="0030282A" w:rsidRDefault="00000000">
                <w:pPr>
                  <w:rPr>
                    <w:sz w:val="10"/>
                    <w:szCs w:val="10"/>
                    <w:lang w:val="en-US"/>
                  </w:rPr>
                </w:pPr>
                <w:r w:rsidRPr="0030282A">
                  <w:rPr>
                    <w:sz w:val="10"/>
                    <w:szCs w:val="10"/>
                    <w:lang w:val="en-US"/>
                  </w:rPr>
                  <w:t>WEEE-Reg.-Nr. DE 88787165</w:t>
                </w:r>
                <w:r w:rsidRPr="0030282A">
                  <w:rPr>
                    <w:sz w:val="10"/>
                    <w:szCs w:val="10"/>
                    <w:lang w:val="en-US"/>
                  </w:rPr>
                  <w:br/>
                  <w:t>USTID-NR: DE258501442</w:t>
                </w:r>
                <w:r w:rsidRPr="0030282A">
                  <w:rPr>
                    <w:sz w:val="10"/>
                    <w:szCs w:val="10"/>
                    <w:lang w:val="en-US"/>
                  </w:rPr>
                  <w:br/>
                  <w:t>ST-NR: 106/5727/1323</w:t>
                </w:r>
                <w:r w:rsidRPr="0030282A">
                  <w:rPr>
                    <w:sz w:val="10"/>
                    <w:szCs w:val="10"/>
                    <w:lang w:val="en-US"/>
                  </w:rPr>
                  <w:br/>
                  <w:t>  </w:t>
                </w:r>
              </w:p>
            </w:tc>
            <w:tc>
              <w:tcPr>
                <w:tcW w:w="28" w:type="dxa"/>
                <w:vAlign w:val="center"/>
                <w:hideMark/>
              </w:tcPr>
              <w:p w14:paraId="396FF1DC" w14:textId="77777777" w:rsidR="003C0776" w:rsidRPr="0030282A" w:rsidRDefault="00000000">
                <w:pPr>
                  <w:rPr>
                    <w:sz w:val="10"/>
                    <w:szCs w:val="10"/>
                    <w:lang w:val="en-US"/>
                  </w:rPr>
                </w:pPr>
                <w:r w:rsidRPr="0030282A">
                  <w:rPr>
                    <w:sz w:val="10"/>
                    <w:szCs w:val="10"/>
                    <w:lang w:val="en-US"/>
                  </w:rPr>
                  <w:t> </w:t>
                </w:r>
              </w:p>
            </w:tc>
          </w:tr>
        </w:tbl>
        <w:p w14:paraId="533C00CE" w14:textId="77777777" w:rsidR="003C0776" w:rsidRPr="0030282A" w:rsidRDefault="003C0776">
          <w:pPr>
            <w:rPr>
              <w:sz w:val="10"/>
              <w:szCs w:val="10"/>
              <w:lang w:val="en-US"/>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3FF7CCC2" w14:textId="77777777" w:rsidR="003C0776" w:rsidRPr="0030282A" w:rsidRDefault="003C0776">
          <w:pPr>
            <w:rPr>
              <w:sz w:val="10"/>
              <w:szCs w:val="10"/>
              <w:lang w:val="en-US"/>
            </w:rPr>
          </w:pPr>
        </w:p>
      </w:tc>
    </w:tr>
  </w:tbl>
  <w:p w14:paraId="0E762068" w14:textId="77777777" w:rsidR="003C0776" w:rsidRPr="0030282A" w:rsidRDefault="003C0776">
    <w:pPr>
      <w:rPr>
        <w:sz w:val="2"/>
        <w:szCs w:val="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67F25A" w14:textId="77777777" w:rsidR="00B877A0" w:rsidRDefault="00B877A0">
      <w:pPr>
        <w:spacing w:line="240" w:lineRule="auto"/>
      </w:pPr>
      <w:r>
        <w:separator/>
      </w:r>
    </w:p>
  </w:footnote>
  <w:footnote w:type="continuationSeparator" w:id="0">
    <w:p w14:paraId="5FA4EB2C" w14:textId="77777777" w:rsidR="00B877A0" w:rsidRDefault="00B877A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942B7" w14:textId="77777777" w:rsidR="003C0776" w:rsidRDefault="00000000">
    <w:r>
      <w:rPr>
        <w:noProof/>
      </w:rPr>
      <w:drawing>
        <wp:anchor distT="0" distB="0" distL="114300" distR="114300" simplePos="0" relativeHeight="251659264" behindDoc="0" locked="0" layoutInCell="0" allowOverlap="0" wp14:anchorId="3EF50417" wp14:editId="58AACA89">
          <wp:simplePos x="0" y="0"/>
          <wp:positionH relativeFrom="page">
            <wp:posOffset>5723890</wp:posOffset>
          </wp:positionH>
          <wp:positionV relativeFrom="page">
            <wp:posOffset>396240</wp:posOffset>
          </wp:positionV>
          <wp:extent cx="1368425" cy="31813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368425" cy="318135"/>
                  </a:xfrm>
                  <a:prstGeom prst="rect">
                    <a:avLst/>
                  </a:prstGeom>
                </pic:spPr>
              </pic:pic>
            </a:graphicData>
          </a:graphic>
        </wp:anchor>
      </w:drawing>
    </w:r>
    <w:r>
      <w:rPr>
        <w:rFonts w:eastAsia="Arial"/>
        <w:b/>
        <w:sz w:val="24"/>
        <w:szCs w:val="24"/>
      </w:rPr>
      <w:t>Press 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67BC6" w14:textId="77777777" w:rsidR="003C0776" w:rsidRDefault="00000000">
    <w:pPr>
      <w:rPr>
        <w:color w:val="343434"/>
      </w:rPr>
    </w:pPr>
    <w:r>
      <w:rPr>
        <w:noProof/>
        <w:color w:val="343434"/>
      </w:rPr>
      <w:drawing>
        <wp:anchor distT="0" distB="0" distL="114300" distR="114300" simplePos="0" relativeHeight="251658240" behindDoc="0" locked="0" layoutInCell="0" allowOverlap="0" wp14:anchorId="2B28BDFE" wp14:editId="550D730B">
          <wp:simplePos x="0" y="0"/>
          <wp:positionH relativeFrom="page">
            <wp:posOffset>5544185</wp:posOffset>
          </wp:positionH>
          <wp:positionV relativeFrom="page">
            <wp:posOffset>396240</wp:posOffset>
          </wp:positionV>
          <wp:extent cx="1368425" cy="31813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368425" cy="318135"/>
                  </a:xfrm>
                  <a:prstGeom prst="rect">
                    <a:avLst/>
                  </a:prstGeom>
                </pic:spPr>
              </pic:pic>
            </a:graphicData>
          </a:graphic>
        </wp:anchor>
      </w:drawing>
    </w:r>
    <w:r>
      <w:rPr>
        <w:rFonts w:eastAsia="Arial"/>
        <w:b/>
        <w:color w:val="343434"/>
        <w:sz w:val="24"/>
        <w:szCs w:val="24"/>
      </w:rPr>
      <w:t>Press 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7"/>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0776"/>
    <w:rsid w:val="0030282A"/>
    <w:rsid w:val="003C0776"/>
    <w:rsid w:val="00B877A0"/>
    <w:rsid w:val="00CF49F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19036E71"/>
  <w15:docId w15:val="{F2D1AC9E-2247-F34C-9326-826E74E9D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color w:val="000000"/>
        <w:sz w:val="22"/>
        <w:szCs w:val="22"/>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hyperlink" Target="https://eu.toto.com/de" TargetMode="External"/><Relationship Id="rId3" Type="http://schemas.openxmlformats.org/officeDocument/2006/relationships/webSettings" Target="webSettings.xml"/><Relationship Id="rId21" Type="http://schemas.openxmlformats.org/officeDocument/2006/relationships/header" Target="header2.xml"/><Relationship Id="rId7" Type="http://schemas.openxmlformats.org/officeDocument/2006/relationships/hyperlink" Target="https://eu.toto.com/de" TargetMode="External"/><Relationship Id="rId12" Type="http://schemas.openxmlformats.org/officeDocument/2006/relationships/image" Target="media/image6.jpg"/><Relationship Id="rId17" Type="http://schemas.openxmlformats.org/officeDocument/2006/relationships/hyperlink" Target="https://jp.toto.com/assets/files/report2024_data_en.pdf" TargetMode="External"/><Relationship Id="rId2" Type="http://schemas.openxmlformats.org/officeDocument/2006/relationships/settings" Target="settings.xml"/><Relationship Id="rId16" Type="http://schemas.openxmlformats.org/officeDocument/2006/relationships/hyperlink" Target="https://sciencebasedtargets.org/about-us"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5.jp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908</Words>
  <Characters>5726</Characters>
  <Application>Microsoft Office Word</Application>
  <DocSecurity>0</DocSecurity>
  <Lines>47</Lines>
  <Paragraphs>13</Paragraphs>
  <ScaleCrop>false</ScaleCrop>
  <Company/>
  <LinksUpToDate>false</LinksUpToDate>
  <CharactersWithSpaces>6621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Thomas Kopal</cp:lastModifiedBy>
  <cp:revision>2</cp:revision>
  <dcterms:created xsi:type="dcterms:W3CDTF">2025-02-13T14:06:00Z</dcterms:created>
  <dcterms:modified xsi:type="dcterms:W3CDTF">2025-02-13T14:06:00Z</dcterms:modified>
</cp:coreProperties>
</file>