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Types>
</file>

<file path=_rels/.rels>&#65279;<?xml version="1.0" encoding="utf-8"?><Relationships xmlns="http://schemas.openxmlformats.org/package/2006/relationships"><Relationship Id="R1" Type="http://schemas.openxmlformats.org/officeDocument/2006/relationships/officeDocument" Target="/word/document.xml" /><Relationship Id="coreR1" Type="http://schemas.openxmlformats.org/package/2006/relationships/metadata/core-properties" Target="/docProps/core.xml" /><Relationship Id="appR1" Type="http://schemas.openxmlformats.org/officeDocument/2006/relationships/extended-properties" Target="/docProps/app.xml" /></Relationships>
</file>

<file path=word/document.xml><?xml version="1.0" encoding="utf-8"?>
<w:document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body>
    <w:p>
      <w:pPr>
        <w:spacing w:lineRule="auto" w:line="288"/>
        <w:jc w:val="left"/>
        <w:rPr>
          <w:rFonts w:ascii="Arial" w:hAnsi="Arial" w:cs="Arial"/>
          <w:b w:val="1"/>
          <w:bCs w:val="1"/>
          <w:color w:val="000000"/>
          <w:sz w:val="32"/>
          <w:szCs w:val="32"/>
        </w:rPr>
      </w:pPr>
      <w:r>
        <w:rPr>
          <w:rFonts w:ascii="Arial" w:hAnsi="Arial" w:cs="Arial"/>
          <w:b w:val="1"/>
          <w:bCs w:val="1"/>
          <w:color w:val="000000"/>
          <w:sz w:val="32"/>
          <w:szCs w:val="32"/>
        </w:rPr>
        <w:t>Standfest und hochwertig</w:t>
      </w:r>
    </w:p>
    <w:tbl>
      <w:tblPr>
        <w:tblStyle w:val="T1"/>
        <w:tblW w:w="5000" w:type="pct"/>
        <w:jc w:val="left"/>
        <w:tblLayout w:type="fixed"/>
        <w:tblCellMar>
          <w:top w:w="0" w:type="dxa"/>
          <w:left w:w="0" w:type="dxa"/>
          <w:bottom w:w="0" w:type="dxa"/>
          <w:right w:w="227" w:type="dxa"/>
        </w:tblCellMar>
        <w:tblLook w:val="04A0"/>
      </w:tblPr>
      <w:tblGrid>
        <w:gridCol w:w="2736"/>
        <w:gridCol w:w="2736"/>
        <w:gridCol w:w="1728"/>
      </w:tblGrid>
      <w:tr>
        <w:tc>
          <w:tcPr>
            <w:tcW w:w="3800" w:type="pct"/>
            <w:gridSpan w:val="2"/>
            <w:tcBorders>
              <w:top w:val="nil"/>
              <w:left w:val="nil"/>
              <w:bottom w:val="nil"/>
              <w:right w:val="nil"/>
            </w:tcBorders>
            <w:shd w:val="clear" w:color="auto" w:fill="auto"/>
            <w:tcMar>
              <w:top w:w="0" w:type="dxa"/>
              <w:left w:w="0" w:type="dxa"/>
              <w:bottom w:w="0" w:type="dxa"/>
              <w:right w:w="227" w:type="dxa"/>
            </w:tcMar>
          </w:tcPr>
          <w:p>
            <w:pPr>
              <w:spacing w:lineRule="auto" w:line="288" w:before="0"/>
              <w:ind w:firstLine="0"/>
              <w:jc w:val="left"/>
              <w:rPr>
                <w:rFonts w:ascii="Arial" w:hAnsi="Arial" w:cs="Arial"/>
                <w:color w:val="000000"/>
                <w:sz w:val="22"/>
                <w:szCs w:val="22"/>
              </w:rPr>
            </w:pPr>
            <w:r>
              <w:rPr>
                <w:rFonts w:ascii="Arial" w:hAnsi="Arial" w:cs="Arial" w:eastAsia="Arial"/>
                <w:color w:val="000000"/>
                <w:sz w:val="22"/>
                <w:szCs w:val="22"/>
              </w:rPr>
              <w:t>Für besondere Anforderungen im Badezimmer: TOTO präsentiert bodenstehende Keramiken</w:t>
            </w:r>
          </w:p>
        </w:tc>
        <w:tc>
          <w:tcPr>
            <w:tcW w:w="1200" w:type="pct"/>
            <w:tcBorders>
              <w:top w:val="nil"/>
              <w:left w:val="nil"/>
              <w:bottom w:val="nil"/>
              <w:right w:val="nil"/>
            </w:tcBorders>
            <w:shd w:val="clear" w:color="auto" w:fill="auto"/>
            <w:tcMar>
              <w:top w:w="0" w:type="dxa"/>
              <w:left w:w="0" w:type="dxa"/>
              <w:bottom w:w="0" w:type="dxa"/>
              <w:right w:w="227" w:type="dxa"/>
            </w:tcMar>
          </w:tcPr>
          <w:p>
            <w:pPr>
              <w:spacing w:lineRule="auto" w:line="288" w:before="0"/>
              <w:ind w:firstLine="0"/>
              <w:jc w:val="left"/>
              <w:rPr>
                <w:rFonts w:ascii="Arial" w:hAnsi="Arial" w:cs="Arial"/>
                <w:color w:val="000000"/>
                <w:sz w:val="22"/>
                <w:szCs w:val="22"/>
              </w:rPr>
            </w:pPr>
          </w:p>
        </w:tc>
      </w:tr>
      <w:tr>
        <w:tblPrEx>
          <w:tblLook w:val="04A0"/>
        </w:tblPrEx>
        <w:trPr>
          <w:gridAfter w:val="1"/>
        </w:trPr>
        <w:tc>
          <w:tcPr>
            <w:tcW w:w="0" w:type="auto"/>
            <w:tcBorders>
              <w:top w:val="nil"/>
              <w:left w:val="nil"/>
              <w:bottom w:val="nil"/>
              <w:right w:val="nil"/>
            </w:tcBorders>
            <w:shd w:val="clear" w:color="auto" w:fill="auto"/>
            <w:tcMar>
              <w:top w:w="0" w:type="dxa"/>
              <w:left w:w="0" w:type="dxa"/>
              <w:bottom w:w="0" w:type="dxa"/>
              <w:right w:w="227" w:type="dxa"/>
            </w:tcMar>
          </w:tcPr>
          <w:p>
            <w:pPr>
              <w:spacing w:lineRule="auto" w:line="288"/>
              <w:ind w:firstLine="0"/>
              <w:jc w:val="left"/>
              <w:rPr>
                <w:rFonts w:ascii="Arial" w:hAnsi="Arial" w:cs="Arial"/>
                <w:color w:val="000000"/>
                <w:sz w:val="22"/>
                <w:szCs w:val="22"/>
              </w:rPr>
            </w:pPr>
          </w:p>
        </w:tc>
        <w:tc>
          <w:tcPr>
            <w:tcW w:w="0" w:type="auto"/>
            <w:tcBorders>
              <w:top w:val="nil"/>
              <w:left w:val="nil"/>
              <w:bottom w:val="nil"/>
              <w:right w:val="nil"/>
            </w:tcBorders>
            <w:shd w:val="clear" w:color="auto" w:fill="auto"/>
            <w:tcMar>
              <w:top w:w="0" w:type="dxa"/>
              <w:left w:w="0" w:type="dxa"/>
              <w:bottom w:w="0" w:type="dxa"/>
              <w:right w:w="227" w:type="dxa"/>
            </w:tcMar>
          </w:tcPr>
          <w:p>
            <w:pPr>
              <w:spacing w:lineRule="auto" w:line="288"/>
              <w:ind w:firstLine="0"/>
              <w:jc w:val="left"/>
              <w:rPr>
                <w:rFonts w:ascii="Arial" w:hAnsi="Arial" w:cs="Arial"/>
                <w:color w:val="000000"/>
                <w:sz w:val="22"/>
                <w:szCs w:val="22"/>
              </w:rPr>
            </w:pPr>
          </w:p>
        </w:tc>
      </w:tr>
    </w:tbl>
    <w:p>
      <w:pPr>
        <w:spacing w:lineRule="auto" w:line="288"/>
        <w:jc w:val="left"/>
        <w:rPr>
          <w:rFonts w:ascii="Arial" w:hAnsi="Arial" w:cs="Arial"/>
          <w:color w:val="000000"/>
          <w:sz w:val="8"/>
          <w:szCs w:val="8"/>
        </w:rPr>
      </w:pPr>
      <w:r>
        <w:rPr>
          <w:rFonts w:ascii="Arial" w:hAnsi="Arial" w:cs="Arial"/>
          <w:color w:val="000000"/>
          <w:sz w:val="8"/>
          <w:szCs w:val="8"/>
        </w:rPr>
        <w:br w:type="textWrapping"/>
      </w:r>
    </w:p>
    <w:tbl>
      <w:tblPr>
        <w:tblStyle w:val="T1"/>
        <w:tblW w:w="5000" w:type="pct"/>
        <w:jc w:val="center"/>
        <w:tblLayout w:type="fixed"/>
        <w:tblCellMar>
          <w:top w:w="0" w:type="dxa"/>
          <w:left w:w="0" w:type="dxa"/>
          <w:bottom w:w="0" w:type="dxa"/>
          <w:right w:w="227" w:type="dxa"/>
        </w:tblCellMar>
        <w:tblLook w:val="04A0"/>
      </w:tblPr>
      <w:tblGrid>
        <w:gridCol w:w="7200"/>
      </w:tblGrid>
      <w:tr>
        <w:tc>
          <w:tcPr>
            <w:tcW w:w="5000" w:type="pct"/>
            <w:tcBorders>
              <w:top w:val="nil"/>
              <w:left w:val="nil"/>
              <w:bottom w:val="nil"/>
              <w:right w:val="nil"/>
            </w:tcBorders>
            <w:shd w:val="clear" w:color="auto" w:fill="auto"/>
            <w:tcMar>
              <w:top w:w="0" w:type="dxa"/>
              <w:left w:w="0" w:type="dxa"/>
              <w:bottom w:w="0" w:type="dxa"/>
              <w:right w:w="227" w:type="dxa"/>
            </w:tcMar>
          </w:tcPr>
          <w:p>
            <w:pPr>
              <w:spacing w:lineRule="auto" w:line="288"/>
              <w:jc w:val="left"/>
              <w:rPr>
                <w:rFonts w:ascii="Arial" w:hAnsi="Arial" w:cs="Arial"/>
                <w:color w:val="000000"/>
                <w:sz w:val="18"/>
                <w:szCs w:val="18"/>
              </w:rPr>
            </w:pPr>
            <w:r>
              <w:rPr>
                <w:rFonts w:ascii="Arial" w:hAnsi="Arial" w:cs="Arial"/>
                <w:color w:val="000000"/>
                <w:sz w:val="18"/>
                <w:szCs w:val="18"/>
              </w:rPr>
              <w:drawing>
                <wp:inline xmlns:wp="http://schemas.openxmlformats.org/drawingml/2006/wordprocessingDrawing" distT="0" distB="0" distL="0" distR="0">
                  <wp:extent cx="3995420" cy="2663825"/>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dpi="0">
                          <a:blip xmlns:r="http://schemas.openxmlformats.org/officeDocument/2006/relationships" r:embed="Relimage1"/>
                          <a:srcRect/>
                          <a:stretch>
                            <a:fillRect/>
                          </a:stretch>
                        </pic:blipFill>
                        <pic:spPr>
                          <a:xfrm>
                            <a:off x="0" y="0"/>
                            <a:ext cx="3995420" cy="2663825"/>
                          </a:xfrm>
                          <a:prstGeom prst="rect"/>
                        </pic:spPr>
                      </pic:pic>
                    </a:graphicData>
                  </a:graphic>
                </wp:inline>
              </w:drawing>
            </w:r>
          </w:p>
        </w:tc>
      </w:tr>
    </w:tbl>
    <w:p>
      <w:pPr>
        <w:spacing w:lineRule="auto" w:line="288"/>
        <w:jc w:val="left"/>
        <w:rPr>
          <w:rFonts w:ascii="Arial" w:hAnsi="Arial" w:cs="Arial"/>
          <w:color w:val="000000"/>
          <w:sz w:val="8"/>
          <w:szCs w:val="8"/>
        </w:rPr>
      </w:pPr>
      <w:r>
        <w:rPr>
          <w:rFonts w:ascii="Arial" w:hAnsi="Arial" w:cs="Arial"/>
          <w:color w:val="000000"/>
          <w:sz w:val="8"/>
          <w:szCs w:val="8"/>
        </w:rPr>
        <w:br w:type="textWrapping"/>
      </w:r>
    </w:p>
    <w:tbl>
      <w:tblPr>
        <w:tblStyle w:val="T1"/>
        <w:tblW w:w="5000" w:type="pct"/>
        <w:jc w:val="left"/>
        <w:tblLayout w:type="fixed"/>
        <w:tblCellMar>
          <w:top w:w="0" w:type="dxa"/>
          <w:left w:w="0" w:type="dxa"/>
          <w:bottom w:w="0" w:type="dxa"/>
          <w:right w:w="227" w:type="dxa"/>
        </w:tblCellMar>
        <w:tblLook w:val="04A0"/>
      </w:tblPr>
      <w:tblGrid>
        <w:gridCol w:w="5472"/>
        <w:gridCol w:w="1728"/>
      </w:tblGrid>
      <w:tr>
        <w:tc>
          <w:tcPr>
            <w:tcW w:w="3800" w:type="pct"/>
            <w:tcBorders>
              <w:top w:val="nil"/>
              <w:left w:val="nil"/>
              <w:bottom w:val="nil"/>
              <w:right w:val="nil"/>
            </w:tcBorders>
            <w:shd w:val="clear" w:color="auto" w:fill="auto"/>
            <w:tcMar>
              <w:top w:w="0" w:type="dxa"/>
              <w:left w:w="0" w:type="dxa"/>
              <w:bottom w:w="0" w:type="dxa"/>
              <w:right w:w="227" w:type="dxa"/>
            </w:tcMar>
          </w:tcPr>
          <w:p>
            <w:pPr>
              <w:spacing w:lineRule="auto" w:line="288" w:before="0" w:after="240"/>
              <w:ind w:firstLine="0" w:left="0" w:right="0"/>
              <w:jc w:val="left"/>
              <w:rPr>
                <w:rFonts w:ascii="Arial" w:hAnsi="Arial" w:cs="Arial"/>
                <w:color w:val="000000"/>
                <w:sz w:val="20"/>
                <w:szCs w:val="20"/>
              </w:rPr>
            </w:pPr>
            <w:r>
              <w:rPr>
                <w:rFonts w:ascii="Arial" w:hAnsi="Arial" w:cs="Arial"/>
                <w:i w:val="1"/>
                <w:color w:val="000000"/>
                <w:sz w:val="20"/>
                <w:szCs w:val="20"/>
              </w:rPr>
              <w:t>Manchmal sind im Bad standfeste Lösungen gefragt! Besondere bauliche Gegebenheiten erfordern die passenden Konzepte, vor allem im Badezimmer. Dies hat TOTO dazu inspiriert, auch bodenstehende Keramiken für das WASHLET, WC und Bidet anzubieten. Gradlinig und reduziert im Design fügen sich die Modelle nahtlos in verschiedenste Stilrichtungen ein und sind die ideale Lösung für spezielle Anforderungen, beispielsweise bei einer Badezimmersanierung in Altbauten oder Bestandsgebäuden. Die herausragende Expertise des japanischen Sanitärspezialisten garantiert auch bei den bodenstehenden Toiletten maximalen Komfort und Hygiene.</w:t>
            </w:r>
          </w:p>
          <w:p>
            <w:pPr>
              <w:spacing w:lineRule="auto" w:line="288" w:before="0" w:after="240"/>
              <w:ind w:firstLine="0" w:left="0" w:right="0"/>
              <w:jc w:val="left"/>
              <w:rPr>
                <w:rFonts w:ascii="Arial" w:hAnsi="Arial" w:cs="Arial"/>
                <w:color w:val="000000"/>
                <w:sz w:val="20"/>
                <w:szCs w:val="20"/>
              </w:rPr>
            </w:pPr>
            <w:r>
              <w:rPr>
                <w:rFonts w:ascii="Arial" w:hAnsi="Arial" w:cs="Arial"/>
                <w:b w:val="1"/>
                <w:color w:val="000000"/>
                <w:sz w:val="20"/>
                <w:szCs w:val="20"/>
              </w:rPr>
              <w:t>Standkombination und Back-to-Wall</w:t>
            </w:r>
          </w:p>
          <w:p>
            <w:pPr>
              <w:spacing w:lineRule="auto" w:line="288" w:before="0" w:after="240"/>
              <w:ind w:firstLine="0" w:left="0" w:right="0"/>
              <w:jc w:val="left"/>
              <w:rPr>
                <w:rFonts w:ascii="Arial" w:hAnsi="Arial" w:cs="Arial"/>
                <w:color w:val="000000"/>
                <w:sz w:val="20"/>
                <w:szCs w:val="20"/>
              </w:rPr>
            </w:pPr>
            <w:r>
              <w:rPr>
                <w:rFonts w:ascii="Arial" w:hAnsi="Arial" w:cs="Arial"/>
                <w:color w:val="000000"/>
                <w:sz w:val="20"/>
                <w:szCs w:val="20"/>
              </w:rPr>
              <w:t>TOTO hat seine beliebteste wandhängende Toilette, das WC RP, um zwei bodenstehende Modelle erweitert. Sowohl die Standkombination mit Spülkasten als auch die Back-to-Wall Toilette können als WC oder als WASHLET genutzt werden. Bei der Verwendung als WC lässt sich die Toilette mit dem passenden Bidet kombinieren. Die RP Keramiken zeichnen sich durch ein äußerst minimalistisches und modernes Design aus. Auf diese Weise fügen sich die neuen Modelle in jeden modernen Badezimmerstil ein.</w:t>
            </w:r>
          </w:p>
          <w:p>
            <w:pPr>
              <w:spacing w:lineRule="auto" w:line="288" w:before="0" w:after="240"/>
              <w:ind w:firstLine="0" w:left="0" w:right="0"/>
              <w:jc w:val="left"/>
              <w:rPr>
                <w:rFonts w:ascii="Arial" w:hAnsi="Arial" w:cs="Arial"/>
                <w:color w:val="000000"/>
                <w:sz w:val="20"/>
                <w:szCs w:val="20"/>
              </w:rPr>
            </w:pPr>
            <w:r>
              <w:rPr>
                <w:rFonts w:ascii="Arial" w:hAnsi="Arial" w:cs="Arial"/>
                <w:b w:val="1"/>
                <w:color w:val="000000"/>
                <w:sz w:val="20"/>
                <w:szCs w:val="20"/>
              </w:rPr>
              <w:t>TOTO denkt voraus: Upgrade vom WC zum WASHLET  </w:t>
            </w:r>
          </w:p>
          <w:p>
            <w:pPr>
              <w:spacing w:lineRule="auto" w:line="288" w:before="0" w:after="240"/>
              <w:ind w:firstLine="0" w:left="0" w:right="0"/>
              <w:jc w:val="left"/>
              <w:rPr>
                <w:rFonts w:ascii="Arial" w:hAnsi="Arial" w:cs="Arial"/>
                <w:color w:val="000000"/>
                <w:sz w:val="20"/>
                <w:szCs w:val="20"/>
              </w:rPr>
            </w:pPr>
            <w:r>
              <w:rPr>
                <w:rFonts w:ascii="Arial" w:hAnsi="Arial" w:cs="Arial"/>
                <w:color w:val="000000"/>
                <w:sz w:val="20"/>
                <w:szCs w:val="20"/>
              </w:rPr>
              <w:t>Was nicht ist, das kann noch werden. Ein Highlight der bodenstehenden WC RP Keramiken von TOTO ist die Flexibilität, was künftige Lösungen betrifft. Soll zu einem späteren Zeitpunkt ein Upgrade zu einem WASHLET gewünscht sein, sind sowohl die Standkombination mit Spülkasten als auch die Back-to-Wall Variante des WC RP bestens vorbereitet: Installationsöffnungen für Wasser und Strom sind bereits vorhanden. Nutzt man die Keramiken als WC mit einem normalen WC-Deckel, sind die Installationsöffnungen mit FlexCovern abgedeckt. Ein Upgrade zum WASHLET kann dann zu jedem Zeitpunkt schnell und problemlos durchgeführt werden. Vorgesehen ist dafür das WASHLET RG für die Standkombination und das RW für die Back-to-Wall Variante.</w:t>
            </w:r>
          </w:p>
          <w:p>
            <w:pPr>
              <w:spacing w:lineRule="auto" w:line="288" w:before="0"/>
              <w:ind w:firstLine="0"/>
              <w:jc w:val="left"/>
              <w:rPr>
                <w:rFonts w:ascii="Arial" w:hAnsi="Arial" w:cs="Arial"/>
                <w:color w:val="000000"/>
                <w:sz w:val="20"/>
                <w:szCs w:val="20"/>
              </w:rPr>
            </w:pPr>
            <w:r>
              <w:rPr>
                <w:rFonts w:ascii="Arial" w:hAnsi="Arial" w:cs="Arial"/>
                <w:color w:val="000000"/>
                <w:sz w:val="20"/>
                <w:szCs w:val="20"/>
              </w:rPr>
              <w:t>Düsseldorf, im März 2025</w:t>
              <w:br w:type="textWrapping"/>
              <w:t>Abdruck honorarfrei / Beleg erbeten</w:t>
            </w:r>
          </w:p>
        </w:tc>
        <w:tc>
          <w:tcPr>
            <w:tcW w:w="1200" w:type="pct"/>
            <w:tcBorders>
              <w:top w:val="nil"/>
              <w:left w:val="nil"/>
              <w:bottom w:val="nil"/>
              <w:right w:val="nil"/>
            </w:tcBorders>
            <w:shd w:val="clear" w:color="auto" w:fill="auto"/>
            <w:tcMar>
              <w:top w:w="0" w:type="dxa"/>
              <w:left w:w="0" w:type="dxa"/>
              <w:bottom w:w="0" w:type="dxa"/>
              <w:right w:w="227" w:type="dxa"/>
            </w:tcMar>
          </w:tcPr>
          <w:p>
            <w:pPr>
              <w:spacing w:lineRule="auto" w:line="288" w:before="0" w:after="240"/>
              <w:ind w:firstLine="0" w:left="0" w:right="0"/>
              <w:jc w:val="left"/>
              <w:rPr>
                <w:rFonts w:ascii="Arial" w:hAnsi="Arial" w:cs="Arial"/>
                <w:color w:val="000000"/>
                <w:sz w:val="20"/>
                <w:szCs w:val="20"/>
              </w:rPr>
            </w:pPr>
            <w:r>
              <w:rPr>
                <w:rFonts w:ascii="Arial" w:hAnsi="Arial" w:cs="Arial"/>
                <w:b w:val="1"/>
                <w:color w:val="000000"/>
                <w:sz w:val="20"/>
                <w:szCs w:val="20"/>
              </w:rPr>
              <w:t>Ansprechpartner für Journalisten:</w:t>
              <w:br w:type="textWrapping"/>
            </w:r>
            <w:r>
              <w:rPr>
                <w:rFonts w:ascii="Arial" w:hAnsi="Arial" w:cs="Arial"/>
                <w:color w:val="000000"/>
                <w:sz w:val="20"/>
                <w:szCs w:val="20"/>
              </w:rPr>
              <w:t>bering*kopal GbR, Büro für Kommunikation</w:t>
              <w:br w:type="textWrapping"/>
              <w:t>Heike Bering</w:t>
              <w:br w:type="textWrapping"/>
              <w:t>Tel. +49 (0)711 7451 759 15</w:t>
            </w:r>
          </w:p>
          <w:p>
            <w:pPr>
              <w:spacing w:lineRule="auto" w:line="288" w:before="0" w:after="240"/>
              <w:ind w:firstLine="0" w:left="0" w:right="0"/>
              <w:jc w:val="left"/>
              <w:rPr>
                <w:rFonts w:ascii="Arial" w:hAnsi="Arial" w:cs="Arial"/>
                <w:color w:val="000000"/>
                <w:sz w:val="20"/>
                <w:szCs w:val="20"/>
              </w:rPr>
            </w:pPr>
            <w:r>
              <w:rPr>
                <w:rFonts w:ascii="Arial" w:hAnsi="Arial" w:cs="Arial"/>
                <w:color w:val="000000"/>
                <w:sz w:val="20"/>
                <w:szCs w:val="20"/>
              </w:rPr>
              <w:t>heike.bering@</w:t>
              <w:br w:type="textWrapping"/>
              <w:t>bering-kopal.de</w:t>
            </w:r>
          </w:p>
          <w:p>
            <w:pPr>
              <w:spacing w:lineRule="auto" w:line="288" w:before="0" w:after="240"/>
              <w:ind w:firstLine="0" w:left="0" w:right="0"/>
              <w:jc w:val="left"/>
              <w:rPr>
                <w:rFonts w:ascii="Arial" w:hAnsi="Arial" w:cs="Arial"/>
                <w:color w:val="000000"/>
                <w:sz w:val="20"/>
                <w:szCs w:val="20"/>
              </w:rPr>
            </w:pPr>
            <w:r>
              <w:rPr>
                <w:rFonts w:ascii="Arial" w:hAnsi="Arial" w:cs="Arial"/>
                <w:b w:val="1"/>
                <w:color w:val="000000"/>
                <w:sz w:val="20"/>
                <w:szCs w:val="20"/>
              </w:rPr>
              <w:t>Ansprechpartnerin im Unternehmen:</w:t>
              <w:br w:type="textWrapping"/>
            </w:r>
            <w:r>
              <w:rPr>
                <w:rFonts w:ascii="Arial" w:hAnsi="Arial" w:cs="Arial"/>
                <w:color w:val="000000"/>
                <w:sz w:val="20"/>
                <w:szCs w:val="20"/>
              </w:rPr>
              <w:t>Anja Giersiepen</w:t>
              <w:br w:type="textWrapping"/>
              <w:t>anja.giersiepen@</w:t>
              <w:br w:type="textWrapping"/>
              <w:t>toto.com</w:t>
            </w:r>
          </w:p>
          <w:p>
            <w:pPr>
              <w:spacing w:lineRule="auto" w:line="288" w:before="0"/>
              <w:ind w:firstLine="0"/>
              <w:jc w:val="left"/>
              <w:rPr>
                <w:rFonts w:ascii="Arial" w:hAnsi="Arial" w:cs="Arial"/>
                <w:color w:val="000000"/>
                <w:sz w:val="20"/>
                <w:szCs w:val="20"/>
              </w:rPr>
            </w:pPr>
            <w:r>
              <w:rPr>
                <w:rFonts w:ascii="Arial" w:hAnsi="Arial" w:cs="Arial"/>
                <w:color w:val="000000"/>
                <w:sz w:val="20"/>
                <w:szCs w:val="20"/>
              </w:rPr>
              <w:t>TOTO im Internet:</w:t>
              <w:br w:type="textWrapping"/>
            </w:r>
            <w:hyperlink xmlns:r="http://schemas.openxmlformats.org/officeDocument/2006/relationships" r:id="R2">
              <w:r>
                <w:rPr>
                  <w:rStyle w:val="C2"/>
                  <w:rFonts w:ascii="Arial" w:hAnsi="Arial" w:cs="Arial"/>
                  <w:color w:val="000000"/>
                  <w:sz w:val="20"/>
                  <w:szCs w:val="20"/>
                </w:rPr>
                <w:t>eu.toto.com/de</w:t>
              </w:r>
            </w:hyperlink>
          </w:p>
        </w:tc>
      </w:tr>
    </w:tbl>
    <w:p>
      <w:pPr>
        <w:spacing w:lineRule="auto" w:line="288"/>
        <w:jc w:val="left"/>
      </w:pPr>
      <w:r>
        <w:br w:type="page"/>
      </w:r>
    </w:p>
    <w:p>
      <w:pPr>
        <w:spacing w:lineRule="auto" w:line="288"/>
        <w:jc w:val="left"/>
        <w:rPr>
          <w:rFonts w:ascii="Arial" w:hAnsi="Arial" w:cs="Arial"/>
          <w:color w:val="000000"/>
          <w:sz w:val="17"/>
          <w:szCs w:val="17"/>
        </w:rPr>
      </w:pPr>
      <w:r>
        <w:rPr>
          <w:rFonts w:ascii="Arial" w:hAnsi="Arial" w:cs="Arial"/>
          <w:b w:val="1"/>
          <w:color w:val="000000"/>
          <w:sz w:val="17"/>
          <w:szCs w:val="17"/>
        </w:rPr>
        <w:t>1</w:t>
      </w:r>
      <w:r>
        <w:rPr>
          <w:rFonts w:ascii="Arial" w:hAnsi="Arial" w:cs="Arial"/>
          <w:color w:val="000000"/>
          <w:sz w:val="17"/>
          <w:szCs w:val="17"/>
        </w:rPr>
        <w:t xml:space="preserve"> Ideal für die einfache und ästhetisch ansprechende Modernisierung des Badezimmers ist das WC RP als Stand-WC mit Spülkasten, hier in der Kombination mit dem Bidet RP. Beide Produkte sind durch die spezielle Cefiontect-Glasur leicht zu reinigen und garantieren langanhaltende Sauberkeit. Foto: TOTO</w:t>
        <w:br w:type="textWrapping"/>
      </w:r>
    </w:p>
    <w:p>
      <w:pPr>
        <w:spacing w:lineRule="auto" w:line="288"/>
        <w:jc w:val="left"/>
        <w:rPr>
          <w:rFonts w:ascii="Arial" w:hAnsi="Arial" w:cs="Arial"/>
          <w:color w:val="000000"/>
          <w:sz w:val="17"/>
          <w:szCs w:val="17"/>
        </w:rPr>
      </w:pPr>
      <w:r>
        <w:rPr>
          <w:rFonts w:ascii="Arial" w:hAnsi="Arial" w:cs="Arial"/>
          <w:b w:val="1"/>
          <w:color w:val="000000"/>
          <w:sz w:val="17"/>
          <w:szCs w:val="17"/>
        </w:rPr>
        <w:t>2</w:t>
      </w:r>
      <w:r>
        <w:rPr>
          <w:rFonts w:ascii="Arial" w:hAnsi="Arial" w:cs="Arial"/>
          <w:color w:val="000000"/>
          <w:sz w:val="17"/>
          <w:szCs w:val="17"/>
        </w:rPr>
        <w:t xml:space="preserve"> Eine durchgehende, stilvolle Designline bilden das WC RP und das Bidet RP nun erstmals als bodenstehende Back-to-Wall Version in glänzendem Weiß. Foto: TOTO</w:t>
        <w:br w:type="textWrapping"/>
      </w:r>
    </w:p>
    <w:p>
      <w:pPr>
        <w:spacing w:lineRule="auto" w:line="288"/>
        <w:jc w:val="left"/>
        <w:rPr>
          <w:rFonts w:ascii="Arial" w:hAnsi="Arial" w:cs="Arial"/>
          <w:color w:val="000000"/>
          <w:sz w:val="17"/>
          <w:szCs w:val="17"/>
        </w:rPr>
      </w:pPr>
      <w:r>
        <w:rPr>
          <w:rFonts w:ascii="Arial" w:hAnsi="Arial" w:cs="Arial"/>
          <w:b w:val="1"/>
          <w:color w:val="000000"/>
          <w:sz w:val="17"/>
          <w:szCs w:val="17"/>
        </w:rPr>
        <w:t>3</w:t>
      </w:r>
      <w:r>
        <w:rPr>
          <w:rFonts w:ascii="Arial" w:hAnsi="Arial" w:cs="Arial"/>
          <w:color w:val="000000"/>
          <w:sz w:val="17"/>
          <w:szCs w:val="17"/>
        </w:rPr>
        <w:t xml:space="preserve"> Der maximale Komfort und die herausragende Hygiene des TOTO WASHLET RW gibt es jetzt auch als formschöne bodenstehende Back-to-wall Variante. Foto: TOTO</w:t>
        <w:br w:type="textWrapping"/>
      </w:r>
    </w:p>
    <w:p>
      <w:pPr>
        <w:spacing w:lineRule="auto" w:line="288"/>
        <w:jc w:val="left"/>
        <w:rPr>
          <w:rFonts w:ascii="Arial" w:hAnsi="Arial" w:cs="Arial"/>
          <w:color w:val="000000"/>
          <w:sz w:val="17"/>
          <w:szCs w:val="17"/>
        </w:rPr>
      </w:pPr>
      <w:r>
        <w:rPr>
          <w:rFonts w:ascii="Arial" w:hAnsi="Arial" w:cs="Arial"/>
          <w:b w:val="1"/>
          <w:color w:val="000000"/>
          <w:sz w:val="17"/>
          <w:szCs w:val="17"/>
        </w:rPr>
        <w:t>4</w:t>
      </w:r>
      <w:r>
        <w:rPr>
          <w:rFonts w:ascii="Arial" w:hAnsi="Arial" w:cs="Arial"/>
          <w:color w:val="000000"/>
          <w:sz w:val="17"/>
          <w:szCs w:val="17"/>
        </w:rPr>
        <w:t xml:space="preserve"> Design und Flexibilität bei der Badsanierung im Bestand: die Standkombination mit Spülkasten des WASHLET RG bietet das Beste aus beiden Welten und macht das stille Örtchen zum stilvollen Komfort-Highlight im Bad. Foto: TOTO</w:t>
        <w:br w:type="textWrapping"/>
      </w:r>
      <w:r>
        <w:rPr>
          <w:rFonts w:ascii="Arial" w:hAnsi="Arial" w:cs="Arial"/>
          <w:color w:val="000000"/>
          <w:sz w:val="17"/>
          <w:szCs w:val="17"/>
        </w:rPr>
        <w:br w:type="textWrapping"/>
      </w:r>
      <w:r>
        <w:rPr>
          <w:rFonts w:ascii="Arial" w:hAnsi="Arial" w:cs="Arial"/>
          <w:color w:val="000000"/>
          <w:sz w:val="17"/>
          <w:szCs w:val="17"/>
        </w:rPr>
        <w:br w:type="textWrapping"/>
      </w:r>
    </w:p>
    <w:tbl>
      <w:tblPr>
        <w:tblStyle w:val="T1"/>
        <w:tblW w:w="5000" w:type="pct"/>
        <w:jc w:val="left"/>
        <w:tblLayout w:type="fixed"/>
        <w:tblCellMar>
          <w:top w:w="0" w:type="dxa"/>
          <w:left w:w="0" w:type="dxa"/>
          <w:bottom w:w="0" w:type="dxa"/>
          <w:right w:w="0" w:type="dxa"/>
        </w:tblCellMar>
        <w:tblLook w:val="04A0"/>
      </w:tblPr>
      <w:tblGrid>
        <w:gridCol w:w="3519"/>
        <w:gridCol w:w="161"/>
        <w:gridCol w:w="3520"/>
      </w:tblGrid>
      <w:tr>
        <w:trPr/>
        <w:tc>
          <w:tcPr>
            <w:tcW w:w="2444"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88"/>
              <w:jc w:val="left"/>
              <w:rPr>
                <w:rFonts w:ascii="Arial" w:hAnsi="Arial" w:cs="Arial"/>
                <w:color w:val="000000"/>
                <w:sz w:val="14"/>
                <w:szCs w:val="14"/>
              </w:rPr>
            </w:pPr>
            <w:r>
              <w:rPr>
                <w:rFonts w:ascii="Arial" w:hAnsi="Arial" w:cs="Arial"/>
                <w:color w:val="000000"/>
                <w:sz w:val="14"/>
                <w:szCs w:val="14"/>
              </w:rPr>
              <w:t>1.</w:t>
            </w:r>
          </w:p>
        </w:tc>
        <w:tc>
          <w:tcPr>
            <w:tcW w:w="112"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88"/>
              <w:jc w:val="left"/>
              <w:rPr>
                <w:rFonts w:ascii="Arial" w:hAnsi="Arial" w:cs="Arial"/>
                <w:color w:val="000000"/>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88"/>
              <w:jc w:val="left"/>
              <w:rPr>
                <w:rFonts w:ascii="Arial" w:hAnsi="Arial" w:cs="Arial"/>
                <w:color w:val="000000"/>
                <w:sz w:val="14"/>
                <w:szCs w:val="14"/>
              </w:rPr>
            </w:pPr>
            <w:r>
              <w:rPr>
                <w:rFonts w:ascii="Arial" w:hAnsi="Arial" w:cs="Arial"/>
                <w:color w:val="000000"/>
                <w:sz w:val="14"/>
                <w:szCs w:val="14"/>
              </w:rPr>
              <w:t>2.</w:t>
            </w:r>
          </w:p>
        </w:tc>
      </w:tr>
      <w:tr>
        <w:trPr>
          <w:trHeight w:hRule="exact" w:val="3175"/>
        </w:trPr>
        <w:tc>
          <w:tcPr>
            <w:tcW w:w="2444" w:type="pct"/>
            <w:tcBorders>
              <w:top w:val="single" w:sz="2" w:space="0" w:shadow="0" w:frame="0" w:color="DCDCDC"/>
              <w:left w:val="single" w:sz="2" w:space="0" w:shadow="0" w:frame="0" w:color="DCDCDC"/>
              <w:bottom w:val="single" w:sz="2" w:space="0" w:shadow="0" w:frame="0" w:color="DCDCDC"/>
              <w:right w:val="single" w:sz="2" w:space="0" w:shadow="0" w:frame="0" w:color="DCDCDC"/>
            </w:tcBorders>
            <w:shd w:val="clear" w:color="auto" w:fill="auto"/>
            <w:tcMar>
              <w:top w:w="0" w:type="dxa"/>
              <w:left w:w="0" w:type="dxa"/>
              <w:bottom w:w="0" w:type="dxa"/>
              <w:right w:w="0" w:type="dxa"/>
            </w:tcMar>
          </w:tcPr>
          <w:p>
            <w:pPr>
              <w:keepNext w:val="1"/>
              <w:keepLines w:val="1"/>
              <w:spacing w:lineRule="auto" w:line="288"/>
              <w:jc w:val="left"/>
              <w:rPr>
                <w:rFonts w:ascii="Arial" w:hAnsi="Arial" w:cs="Arial"/>
                <w:color w:val="000000"/>
                <w:sz w:val="14"/>
                <w:szCs w:val="14"/>
              </w:rPr>
            </w:pPr>
            <w:r>
              <w:rPr>
                <w:rFonts w:ascii="Arial" w:hAnsi="Arial" w:cs="Arial"/>
                <w:color w:val="000000"/>
                <w:sz w:val="14"/>
                <w:szCs w:val="14"/>
              </w:rPr>
              <w:drawing>
                <wp:inline xmlns:wp="http://schemas.openxmlformats.org/drawingml/2006/wordprocessingDrawing" distT="0" distB="0" distL="0" distR="0">
                  <wp:extent cx="2014220" cy="201422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xmlns:r="http://schemas.openxmlformats.org/officeDocument/2006/relationships" r:embed="Relimage2"/>
                          <a:srcRect/>
                          <a:stretch>
                            <a:fillRect/>
                          </a:stretch>
                        </pic:blipFill>
                        <pic:spPr>
                          <a:xfrm>
                            <a:off x="0" y="0"/>
                            <a:ext cx="2014220" cy="2014220"/>
                          </a:xfrm>
                          <a:prstGeom prst="rect"/>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88"/>
              <w:jc w:val="left"/>
              <w:rPr>
                <w:rFonts w:ascii="Arial" w:hAnsi="Arial" w:cs="Arial"/>
                <w:color w:val="000000"/>
                <w:sz w:val="14"/>
                <w:szCs w:val="14"/>
              </w:rPr>
            </w:pPr>
          </w:p>
        </w:tc>
        <w:tc>
          <w:tcPr>
            <w:tcW w:w="2444" w:type="pct"/>
            <w:tcBorders>
              <w:top w:val="single" w:sz="2" w:space="0" w:shadow="0" w:frame="0" w:color="DCDCDC"/>
              <w:left w:val="single" w:sz="2" w:space="0" w:shadow="0" w:frame="0" w:color="DCDCDC"/>
              <w:bottom w:val="single" w:sz="2" w:space="0" w:shadow="0" w:frame="0" w:color="DCDCDC"/>
              <w:right w:val="single" w:sz="2" w:space="0" w:shadow="0" w:frame="0" w:color="DCDCDC"/>
            </w:tcBorders>
            <w:shd w:val="clear" w:color="auto" w:fill="auto"/>
            <w:tcMar>
              <w:top w:w="0" w:type="dxa"/>
              <w:left w:w="0" w:type="dxa"/>
              <w:bottom w:w="0" w:type="dxa"/>
              <w:right w:w="0" w:type="dxa"/>
            </w:tcMar>
          </w:tcPr>
          <w:p>
            <w:pPr>
              <w:keepNext w:val="1"/>
              <w:keepLines w:val="1"/>
              <w:spacing w:lineRule="auto" w:line="288"/>
              <w:jc w:val="left"/>
              <w:rPr>
                <w:rFonts w:ascii="Arial" w:hAnsi="Arial" w:cs="Arial"/>
                <w:color w:val="000000"/>
                <w:sz w:val="14"/>
                <w:szCs w:val="14"/>
              </w:rPr>
            </w:pPr>
            <w:r>
              <w:rPr>
                <w:rFonts w:ascii="Arial" w:hAnsi="Arial" w:cs="Arial"/>
                <w:color w:val="000000"/>
                <w:sz w:val="14"/>
                <w:szCs w:val="14"/>
              </w:rPr>
              <w:drawing>
                <wp:inline xmlns:wp="http://schemas.openxmlformats.org/drawingml/2006/wordprocessingDrawing" distT="0" distB="0" distL="0" distR="0">
                  <wp:extent cx="2014220" cy="201422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dpi="0">
                          <a:blip xmlns:r="http://schemas.openxmlformats.org/officeDocument/2006/relationships" r:embed="Relimage3"/>
                          <a:srcRect/>
                          <a:stretch>
                            <a:fillRect/>
                          </a:stretch>
                        </pic:blipFill>
                        <pic:spPr>
                          <a:xfrm>
                            <a:off x="0" y="0"/>
                            <a:ext cx="2014220" cy="2014220"/>
                          </a:xfrm>
                          <a:prstGeom prst="rect"/>
                        </pic:spPr>
                      </pic:pic>
                    </a:graphicData>
                  </a:graphic>
                </wp:inline>
              </w:drawing>
            </w:r>
          </w:p>
        </w:tc>
      </w:tr>
      <w:tr>
        <w:trPr/>
        <w:tc>
          <w:tcPr>
            <w:tcW w:w="2444"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88"/>
              <w:jc w:val="left"/>
              <w:rPr>
                <w:rFonts w:ascii="Arial" w:hAnsi="Arial" w:cs="Arial"/>
                <w:color w:val="000000"/>
                <w:sz w:val="14"/>
                <w:szCs w:val="14"/>
              </w:rPr>
            </w:pPr>
          </w:p>
        </w:tc>
        <w:tc>
          <w:tcPr>
            <w:tcW w:w="112"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88"/>
              <w:jc w:val="left"/>
              <w:rPr>
                <w:rFonts w:ascii="Arial" w:hAnsi="Arial" w:cs="Arial"/>
                <w:color w:val="000000"/>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88"/>
              <w:jc w:val="left"/>
              <w:rPr>
                <w:rFonts w:ascii="Arial" w:hAnsi="Arial" w:cs="Arial"/>
                <w:color w:val="000000"/>
                <w:sz w:val="14"/>
                <w:szCs w:val="14"/>
              </w:rPr>
            </w:pPr>
          </w:p>
        </w:tc>
      </w:tr>
      <w:tr>
        <w:trPr/>
        <w:tc>
          <w:tcPr>
            <w:tcW w:w="2444"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88"/>
              <w:jc w:val="left"/>
              <w:rPr>
                <w:rFonts w:ascii="Arial" w:hAnsi="Arial" w:cs="Arial"/>
                <w:color w:val="000000"/>
                <w:sz w:val="14"/>
                <w:szCs w:val="14"/>
              </w:rPr>
            </w:pPr>
            <w:r>
              <w:rPr>
                <w:rFonts w:ascii="Arial" w:hAnsi="Arial" w:cs="Arial"/>
                <w:color w:val="000000"/>
                <w:sz w:val="14"/>
                <w:szCs w:val="14"/>
              </w:rPr>
              <w:t>3.</w:t>
            </w:r>
          </w:p>
        </w:tc>
        <w:tc>
          <w:tcPr>
            <w:tcW w:w="112"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88"/>
              <w:jc w:val="left"/>
              <w:rPr>
                <w:rFonts w:ascii="Arial" w:hAnsi="Arial" w:cs="Arial"/>
                <w:color w:val="000000"/>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88"/>
              <w:jc w:val="left"/>
              <w:rPr>
                <w:rFonts w:ascii="Arial" w:hAnsi="Arial" w:cs="Arial"/>
                <w:color w:val="000000"/>
                <w:sz w:val="14"/>
                <w:szCs w:val="14"/>
              </w:rPr>
            </w:pPr>
            <w:r>
              <w:rPr>
                <w:rFonts w:ascii="Arial" w:hAnsi="Arial" w:cs="Arial"/>
                <w:color w:val="000000"/>
                <w:sz w:val="14"/>
                <w:szCs w:val="14"/>
              </w:rPr>
              <w:t>4.</w:t>
            </w:r>
          </w:p>
        </w:tc>
      </w:tr>
      <w:tr>
        <w:trPr>
          <w:trHeight w:hRule="exact" w:val="3175"/>
        </w:trPr>
        <w:tc>
          <w:tcPr>
            <w:tcW w:w="2444" w:type="pct"/>
            <w:tcBorders>
              <w:top w:val="single" w:sz="2" w:space="0" w:shadow="0" w:frame="0" w:color="DCDCDC"/>
              <w:left w:val="single" w:sz="2" w:space="0" w:shadow="0" w:frame="0" w:color="DCDCDC"/>
              <w:bottom w:val="single" w:sz="2" w:space="0" w:shadow="0" w:frame="0" w:color="DCDCDC"/>
              <w:right w:val="single" w:sz="2" w:space="0" w:shadow="0" w:frame="0" w:color="DCDCDC"/>
            </w:tcBorders>
            <w:shd w:val="clear" w:color="auto" w:fill="auto"/>
            <w:tcMar>
              <w:top w:w="0" w:type="dxa"/>
              <w:left w:w="0" w:type="dxa"/>
              <w:bottom w:w="0" w:type="dxa"/>
              <w:right w:w="0" w:type="dxa"/>
            </w:tcMar>
          </w:tcPr>
          <w:p>
            <w:pPr>
              <w:keepNext w:val="1"/>
              <w:keepLines w:val="1"/>
              <w:spacing w:lineRule="auto" w:line="288"/>
              <w:jc w:val="left"/>
              <w:rPr>
                <w:rFonts w:ascii="Arial" w:hAnsi="Arial" w:cs="Arial"/>
                <w:color w:val="000000"/>
                <w:sz w:val="14"/>
                <w:szCs w:val="14"/>
              </w:rPr>
            </w:pPr>
            <w:r>
              <w:rPr>
                <w:rFonts w:ascii="Arial" w:hAnsi="Arial" w:cs="Arial"/>
                <w:color w:val="000000"/>
                <w:sz w:val="14"/>
                <w:szCs w:val="14"/>
              </w:rPr>
              <w:drawing>
                <wp:inline xmlns:wp="http://schemas.openxmlformats.org/drawingml/2006/wordprocessingDrawing" distT="0" distB="0" distL="0" distR="0">
                  <wp:extent cx="2014220" cy="201422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dpi="0">
                          <a:blip xmlns:r="http://schemas.openxmlformats.org/officeDocument/2006/relationships" r:embed="Relimage4"/>
                          <a:srcRect/>
                          <a:stretch>
                            <a:fillRect/>
                          </a:stretch>
                        </pic:blipFill>
                        <pic:spPr>
                          <a:xfrm>
                            <a:off x="0" y="0"/>
                            <a:ext cx="2014220" cy="2014220"/>
                          </a:xfrm>
                          <a:prstGeom prst="rect"/>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88"/>
              <w:jc w:val="left"/>
              <w:rPr>
                <w:rFonts w:ascii="Arial" w:hAnsi="Arial" w:cs="Arial"/>
                <w:color w:val="000000"/>
                <w:sz w:val="14"/>
                <w:szCs w:val="14"/>
              </w:rPr>
            </w:pPr>
          </w:p>
        </w:tc>
        <w:tc>
          <w:tcPr>
            <w:tcW w:w="2444" w:type="pct"/>
            <w:tcBorders>
              <w:top w:val="single" w:sz="2" w:space="0" w:shadow="0" w:frame="0" w:color="DCDCDC"/>
              <w:left w:val="single" w:sz="2" w:space="0" w:shadow="0" w:frame="0" w:color="DCDCDC"/>
              <w:bottom w:val="single" w:sz="2" w:space="0" w:shadow="0" w:frame="0" w:color="DCDCDC"/>
              <w:right w:val="single" w:sz="2" w:space="0" w:shadow="0" w:frame="0" w:color="DCDCDC"/>
            </w:tcBorders>
            <w:shd w:val="clear" w:color="auto" w:fill="auto"/>
            <w:tcMar>
              <w:top w:w="0" w:type="dxa"/>
              <w:left w:w="0" w:type="dxa"/>
              <w:bottom w:w="0" w:type="dxa"/>
              <w:right w:w="0" w:type="dxa"/>
            </w:tcMar>
          </w:tcPr>
          <w:p>
            <w:pPr>
              <w:keepNext w:val="1"/>
              <w:keepLines w:val="1"/>
              <w:spacing w:lineRule="auto" w:line="288"/>
              <w:jc w:val="left"/>
              <w:rPr>
                <w:rFonts w:ascii="Arial" w:hAnsi="Arial" w:cs="Arial"/>
                <w:color w:val="000000"/>
                <w:sz w:val="14"/>
                <w:szCs w:val="14"/>
              </w:rPr>
            </w:pPr>
            <w:r>
              <w:rPr>
                <w:rFonts w:ascii="Arial" w:hAnsi="Arial" w:cs="Arial"/>
                <w:color w:val="000000"/>
                <w:sz w:val="14"/>
                <w:szCs w:val="14"/>
              </w:rPr>
              <w:drawing>
                <wp:inline xmlns:wp="http://schemas.openxmlformats.org/drawingml/2006/wordprocessingDrawing" distT="0" distB="0" distL="0" distR="0">
                  <wp:extent cx="2014220" cy="201422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xmlns:r="http://schemas.openxmlformats.org/officeDocument/2006/relationships" r:embed="Relimage5"/>
                          <a:srcRect/>
                          <a:stretch>
                            <a:fillRect/>
                          </a:stretch>
                        </pic:blipFill>
                        <pic:spPr>
                          <a:xfrm>
                            <a:off x="0" y="0"/>
                            <a:ext cx="2014220" cy="2014220"/>
                          </a:xfrm>
                          <a:prstGeom prst="rect"/>
                        </pic:spPr>
                      </pic:pic>
                    </a:graphicData>
                  </a:graphic>
                </wp:inline>
              </w:drawing>
            </w:r>
          </w:p>
        </w:tc>
      </w:tr>
    </w:tbl>
    <w:p>
      <w:pPr>
        <w:spacing w:lineRule="auto" w:line="288"/>
        <w:jc w:val="left"/>
      </w:pPr>
      <w:r>
        <w:br w:type="page"/>
      </w:r>
    </w:p>
    <w:tbl>
      <w:tblPr>
        <w:tblStyle w:val="T1"/>
        <w:tblW w:w="5000" w:type="pct"/>
        <w:jc w:val="left"/>
        <w:tblLayout w:type="fixed"/>
        <w:tblCellMar>
          <w:top w:w="0" w:type="dxa"/>
          <w:left w:w="0" w:type="dxa"/>
          <w:bottom w:w="0" w:type="dxa"/>
          <w:right w:w="227" w:type="dxa"/>
        </w:tblCellMar>
        <w:tblLook w:val="04A0"/>
      </w:tblPr>
      <w:tblGrid>
        <w:gridCol w:w="2736"/>
        <w:gridCol w:w="2736"/>
        <w:gridCol w:w="1728"/>
      </w:tblGrid>
      <w:tr>
        <w:tc>
          <w:tcPr>
            <w:tcW w:w="3800" w:type="pct"/>
            <w:gridSpan w:val="2"/>
            <w:tcBorders>
              <w:top w:val="nil"/>
              <w:left w:val="nil"/>
              <w:bottom w:val="nil"/>
              <w:right w:val="nil"/>
            </w:tcBorders>
            <w:shd w:val="clear" w:color="auto" w:fill="auto"/>
            <w:tcMar>
              <w:top w:w="0" w:type="dxa"/>
              <w:left w:w="0" w:type="dxa"/>
              <w:bottom w:w="0" w:type="dxa"/>
              <w:right w:w="227" w:type="dxa"/>
            </w:tcMar>
          </w:tcPr>
          <w:p>
            <w:pPr>
              <w:spacing w:lineRule="auto" w:line="288" w:before="240" w:after="240"/>
              <w:rPr>
                <w:rFonts w:ascii="Arial" w:hAnsi="Arial" w:cs="Arial"/>
                <w:color w:val="000000"/>
                <w:sz w:val="20"/>
                <w:szCs w:val="20"/>
              </w:rPr>
            </w:pPr>
            <w:r>
              <w:rPr>
                <w:rFonts w:ascii="Arial" w:hAnsi="Arial" w:cs="Arial"/>
                <w:b w:val="1"/>
                <w:color w:val="000000"/>
                <w:sz w:val="20"/>
                <w:szCs w:val="20"/>
              </w:rPr>
              <w:t>Über TOTO Europe</w:t>
            </w:r>
          </w:p>
          <w:p>
            <w:pPr>
              <w:spacing w:lineRule="auto" w:line="288" w:before="240" w:after="240"/>
              <w:ind w:left="0" w:right="0"/>
              <w:rPr>
                <w:rFonts w:ascii="Arial" w:hAnsi="Arial" w:cs="Arial"/>
                <w:color w:val="000000"/>
                <w:sz w:val="20"/>
                <w:szCs w:val="20"/>
              </w:rPr>
            </w:pPr>
            <w:r>
              <w:rPr>
                <w:rFonts w:ascii="Arial" w:hAnsi="Arial" w:cs="Arial"/>
                <w:color w:val="000000"/>
                <w:sz w:val="20"/>
                <w:szCs w:val="20"/>
              </w:rPr>
              <w:t xml:space="preserve">Bei TOTO, einem der international führenden Sanitärunternehmen mit weltweit 36.000 Mitarbeitenden, steht der Mensch und sein Wohlbefinden im Mittelpunkt. Seit der Gründung 1917 in Kitakyushu, Japan, entwickelt, produziert und vertreibt TOTO ganzheitliche Badezimmerkonzepte für gehobene Ansprüche – seit 2009 auch in Europa. Das Ziel des Unternehmens ist es, durch Regeneration, Komfort und Hygiene ein neues Lebensgefühl zu schaffen. Einfach in der Handhabung ist die Technik selbst nahezu unsichtbar in das Design integriert. Als Japans führender Komplettbadanbieter präsentiert TOTO innovative Sanitärkeramik, Armaturen und Accessoires und blickt auf über 40 Jahre Erfahrung in der Entwicklung und Herstellung verschiedener WASHLET-Modelle zurück. Weltweit wurden bisher über 60 Millionen Stück davon verkauft. </w:t>
              <w:br w:type="textWrapping"/>
              <w:t>TOTO engagiert sich nicht nur intensiv für das menschliche Wohlbefinden, sondern auch für das unseres Planeten. Auf dem Weg zu einem emissionsfreien Unternehmen hat sich TOTO der RE100-Initiative angeschlossen und verfolgt das Ziel, bis 2050 an allen Standorten CO</w:t>
            </w:r>
            <w:r>
              <w:rPr>
                <w:rFonts w:ascii="Arial" w:hAnsi="Arial" w:cs="Arial"/>
                <w:color w:val="000000"/>
                <w:sz w:val="20"/>
                <w:szCs w:val="20"/>
                <w:vertAlign w:val="subscript"/>
              </w:rPr>
              <w:t>2</w:t>
            </w:r>
            <w:r>
              <w:rPr>
                <w:rFonts w:ascii="Arial" w:hAnsi="Arial" w:cs="Arial"/>
                <w:color w:val="000000"/>
                <w:sz w:val="20"/>
                <w:szCs w:val="20"/>
              </w:rPr>
              <w:t xml:space="preserve">-neutral zu werden, vor allem durch die konsequente Nutzung erneuerbarer Energien. Im Einklang mit den Zielen des Pariser Klimaabkommens erhielt TOTO 2021 die Zertifizierung der </w:t>
            </w:r>
            <w:hyperlink xmlns:r="http://schemas.openxmlformats.org/officeDocument/2006/relationships" r:id="R3">
              <w:r>
                <w:rPr>
                  <w:rStyle w:val="C2"/>
                  <w:rFonts w:ascii="Arial" w:hAnsi="Arial" w:cs="Arial"/>
                  <w:color w:val="000000"/>
                  <w:sz w:val="20"/>
                  <w:szCs w:val="20"/>
                </w:rPr>
                <w:t>Science Based Targets</w:t>
              </w:r>
            </w:hyperlink>
            <w:r>
              <w:rPr>
                <w:rFonts w:ascii="Arial" w:hAnsi="Arial" w:cs="Arial"/>
                <w:color w:val="000000"/>
                <w:sz w:val="20"/>
                <w:szCs w:val="20"/>
              </w:rPr>
              <w:t xml:space="preserve"> Initiative (SBTi). Darüber hinaus trägt das Unternehmen mit dem Vertrieb und der Entwicklung wassersparender Produkte tagtäglich aktiv zur Ressourcenschonung bei. Bis 2030 soll der Anteil nachhaltiger Produkte im Portfolio zudem auf 83 % steigen, während der Wasserverbrauch durch innovative Technologien erheblich gesenkt wird. Mit diesen Maßnahmen strebt TOTO bis 2050 die vollständige Klimaneutralität an – nachzulesen im </w:t>
            </w:r>
            <w:hyperlink xmlns:r="http://schemas.openxmlformats.org/officeDocument/2006/relationships" r:id="R4">
              <w:r>
                <w:rPr>
                  <w:rStyle w:val="C2"/>
                  <w:rFonts w:ascii="Arial" w:hAnsi="Arial" w:cs="Arial"/>
                  <w:color w:val="000000"/>
                  <w:sz w:val="20"/>
                  <w:szCs w:val="20"/>
                </w:rPr>
                <w:t>Integrated Report 2024</w:t>
              </w:r>
            </w:hyperlink>
            <w:r>
              <w:rPr>
                <w:rFonts w:ascii="Arial" w:hAnsi="Arial" w:cs="Arial"/>
                <w:color w:val="000000"/>
                <w:sz w:val="20"/>
                <w:szCs w:val="20"/>
              </w:rPr>
              <w:t>.</w:t>
            </w:r>
          </w:p>
          <w:p>
            <w:pPr>
              <w:spacing w:lineRule="auto" w:line="288" w:before="240" w:after="240"/>
              <w:ind w:left="0" w:right="0"/>
              <w:rPr>
                <w:rFonts w:ascii="Arial" w:hAnsi="Arial" w:cs="Arial"/>
                <w:color w:val="000000"/>
                <w:sz w:val="20"/>
                <w:szCs w:val="20"/>
              </w:rPr>
            </w:pPr>
            <w:r>
              <w:rPr>
                <w:rFonts w:ascii="Arial" w:hAnsi="Arial" w:cs="Arial"/>
                <w:color w:val="000000"/>
                <w:sz w:val="20"/>
                <w:szCs w:val="20"/>
              </w:rPr>
              <w:t xml:space="preserve">Mehr über TOTO: </w:t>
            </w:r>
            <w:hyperlink xmlns:r="http://schemas.openxmlformats.org/officeDocument/2006/relationships" r:id="R5">
              <w:r>
                <w:rPr>
                  <w:rStyle w:val="C2"/>
                  <w:rFonts w:ascii="Arial" w:hAnsi="Arial" w:cs="Arial"/>
                  <w:color w:val="000000"/>
                  <w:sz w:val="20"/>
                  <w:szCs w:val="20"/>
                </w:rPr>
                <w:t>eu.toto.com</w:t>
              </w:r>
            </w:hyperlink>
          </w:p>
          <w:p>
            <w:pPr>
              <w:spacing w:lineRule="auto" w:line="288"/>
              <w:jc w:val="left"/>
              <w:rPr>
                <w:rFonts w:ascii="Arial" w:hAnsi="Arial" w:cs="Arial"/>
                <w:color w:val="000000"/>
                <w:sz w:val="20"/>
                <w:szCs w:val="20"/>
              </w:rPr>
            </w:pPr>
            <w:r>
              <w:rPr>
                <w:rFonts w:ascii="Arial" w:hAnsi="Arial" w:cs="Arial"/>
                <w:color w:val="000000"/>
                <w:sz w:val="20"/>
                <w:szCs w:val="20"/>
              </w:rPr>
              <w:br w:type="textWrapping"/>
            </w:r>
          </w:p>
        </w:tc>
        <w:tc>
          <w:tcPr>
            <w:tcW w:w="1200" w:type="pct"/>
            <w:tcBorders>
              <w:top w:val="nil"/>
              <w:left w:val="nil"/>
              <w:bottom w:val="nil"/>
              <w:right w:val="nil"/>
            </w:tcBorders>
            <w:shd w:val="clear" w:color="auto" w:fill="auto"/>
            <w:tcMar>
              <w:top w:w="0" w:type="dxa"/>
              <w:left w:w="0" w:type="dxa"/>
              <w:bottom w:w="0" w:type="dxa"/>
              <w:right w:w="227" w:type="dxa"/>
            </w:tcMar>
          </w:tcPr>
          <w:p>
            <w:pPr>
              <w:spacing w:lineRule="auto" w:line="288"/>
              <w:jc w:val="left"/>
              <w:rPr>
                <w:rFonts w:ascii="Arial" w:hAnsi="Arial" w:cs="Arial"/>
                <w:color w:val="000000"/>
                <w:sz w:val="20"/>
                <w:szCs w:val="20"/>
              </w:rPr>
            </w:pPr>
            <w:r>
              <w:rPr>
                <w:rFonts w:ascii="Arial" w:hAnsi="Arial" w:cs="Arial"/>
                <w:color w:val="000000"/>
                <w:sz w:val="20"/>
                <w:szCs w:val="20"/>
              </w:rPr>
              <w:br w:type="textWrapping"/>
            </w:r>
          </w:p>
        </w:tc>
      </w:tr>
      <w:tr>
        <w:tblPrEx>
          <w:tblLook w:val="04A0"/>
        </w:tblPrEx>
        <w:trPr>
          <w:gridAfter w:val="1"/>
        </w:trPr>
        <w:tc>
          <w:tcPr>
            <w:tcW w:w="0" w:type="auto"/>
            <w:tcBorders>
              <w:top w:val="nil"/>
              <w:left w:val="nil"/>
              <w:bottom w:val="nil"/>
              <w:right w:val="nil"/>
            </w:tcBorders>
            <w:shd w:val="clear" w:color="auto" w:fill="auto"/>
            <w:tcMar>
              <w:top w:w="0" w:type="dxa"/>
              <w:left w:w="0" w:type="dxa"/>
              <w:bottom w:w="0" w:type="dxa"/>
              <w:right w:w="227" w:type="dxa"/>
            </w:tcMar>
          </w:tcPr>
          <w:p>
            <w:pPr>
              <w:spacing w:lineRule="auto" w:line="288"/>
              <w:jc w:val="left"/>
              <w:rPr>
                <w:rFonts w:ascii="Arial" w:hAnsi="Arial" w:cs="Arial"/>
                <w:color w:val="000000"/>
                <w:sz w:val="20"/>
                <w:szCs w:val="20"/>
              </w:rPr>
            </w:pPr>
          </w:p>
        </w:tc>
        <w:tc>
          <w:tcPr>
            <w:tcW w:w="0" w:type="auto"/>
            <w:tcBorders>
              <w:top w:val="nil"/>
              <w:left w:val="nil"/>
              <w:bottom w:val="nil"/>
              <w:right w:val="nil"/>
            </w:tcBorders>
            <w:shd w:val="clear" w:color="auto" w:fill="auto"/>
            <w:tcMar>
              <w:top w:w="0" w:type="dxa"/>
              <w:left w:w="0" w:type="dxa"/>
              <w:bottom w:w="0" w:type="dxa"/>
              <w:right w:w="227" w:type="dxa"/>
            </w:tcMar>
          </w:tcPr>
          <w:p>
            <w:pPr>
              <w:spacing w:lineRule="auto" w:line="288"/>
              <w:jc w:val="left"/>
              <w:rPr>
                <w:rFonts w:ascii="Arial" w:hAnsi="Arial" w:cs="Arial"/>
                <w:color w:val="000000"/>
                <w:sz w:val="20"/>
                <w:szCs w:val="20"/>
              </w:rPr>
            </w:pPr>
          </w:p>
        </w:tc>
      </w:tr>
    </w:tbl>
    <w:p>
      <w:pPr>
        <w:spacing w:lineRule="auto" w:line="288"/>
        <w:jc w:val="left"/>
      </w:pPr>
    </w:p>
    <w:sectPr>
      <w:headerReference xmlns:r="http://schemas.openxmlformats.org/officeDocument/2006/relationships" w:type="first" r:id="RelHdr1"/>
      <w:headerReference xmlns:r="http://schemas.openxmlformats.org/officeDocument/2006/relationships" w:type="default" r:id="RelHdr2"/>
      <w:footerReference xmlns:r="http://schemas.openxmlformats.org/officeDocument/2006/relationships" w:type="first" r:id="RelFtr1"/>
      <w:footerReference xmlns:r="http://schemas.openxmlformats.org/officeDocument/2006/relationships" w:type="default" r:id="RelFtr2"/>
      <w:type w:val="nextPage"/>
      <w:pgSz w:w="11906" w:h="16838" w:code="0"/>
      <w:pgMar w:left="1134" w:right="1020" w:top="1701" w:bottom="1701" w:header="850" w:footer="283" w:gutter="0"/>
      <w:titlePg w:val="1"/>
    </w:sectPr>
  </w:body>
</w:document>
</file>

<file path=word/footer1.xml><?xml version="1.0" encoding="utf-8"?>
<w:ft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jc w:val="left"/>
      <w:tblLayout w:type="fixed"/>
      <w:tblCellMar>
        <w:top w:w="0" w:type="dxa"/>
        <w:left w:w="0" w:type="dxa"/>
        <w:bottom w:w="0" w:type="dxa"/>
        <w:right w:w="0" w:type="dxa"/>
      </w:tblCellMar>
      <w:tblLook w:val="04A0"/>
    </w:tblPr>
    <w:tblGrid>
      <w:gridCol w:w="7056"/>
      <w:gridCol w:w="144"/>
    </w:tblGrid>
    <w:tr>
      <w:trPr/>
      <w:tc>
        <w:tcPr>
          <w:tcW w:w="4900" w:type="pct"/>
          <w:tcBorders>
            <w:top w:val="nil"/>
            <w:left w:val="nil"/>
            <w:bottom w:val="nil"/>
            <w:right w:val="nil"/>
          </w:tcBorders>
          <w:shd w:val="clear" w:color="auto" w:fill="auto"/>
          <w:tcMar>
            <w:top w:w="0" w:type="dxa"/>
            <w:left w:w="0" w:type="dxa"/>
            <w:bottom w:w="0" w:type="dxa"/>
            <w:right w:w="0" w:type="dxa"/>
          </w:tcMar>
          <w:vAlign w:val="bottom"/>
        </w:tcPr>
        <w:tbl>
          <w:tblPr>
            <w:tblW w:w="5000" w:type="pct"/>
            <w:tblCellSpacing w:w="0" w:type="dxa"/>
            <w:tblInd w:w="0" w:type="dxa"/>
            <w:tblBorders>
              <w:top w:val="nil" w:sz="0" w:space="0" w:shadow="0" w:frame="0" w:color="000000"/>
              <w:left w:val="nil" w:sz="0" w:space="0" w:shadow="0" w:frame="0" w:color="000000"/>
              <w:bottom w:val="nil" w:sz="0" w:space="0" w:shadow="0" w:frame="0" w:color="000000"/>
              <w:right w:val="nil" w:sz="0" w:space="0" w:shadow="0" w:frame="0" w:color="000000"/>
              <w:insideH w:val="none" w:sz="0" w:space="0" w:shadow="0" w:frame="0" w:color="auto"/>
              <w:insideV w:val="none" w:sz="0" w:space="0" w:shadow="0" w:frame="0" w:color="auto"/>
            </w:tblBorders>
            <w:tblLayout w:type="autofit"/>
            <w:tblCellMar>
              <w:top w:w="0" w:type="dxa"/>
              <w:left w:w="0" w:type="dxa"/>
              <w:bottom w:w="0" w:type="dxa"/>
              <w:right w:w="0" w:type="dxa"/>
            </w:tblCellMar>
          </w:tblPr>
          <w:tblGrid>
            <w:gridCol w:w="35"/>
            <w:gridCol w:w="70"/>
            <w:gridCol w:w="1186"/>
            <w:gridCol w:w="35"/>
            <w:gridCol w:w="70"/>
            <w:gridCol w:w="1203"/>
            <w:gridCol w:w="35"/>
            <w:gridCol w:w="70"/>
            <w:gridCol w:w="1607"/>
            <w:gridCol w:w="35"/>
            <w:gridCol w:w="70"/>
            <w:gridCol w:w="1457"/>
            <w:gridCol w:w="35"/>
            <w:gridCol w:w="70"/>
            <w:gridCol w:w="1194"/>
            <w:gridCol w:w="28"/>
          </w:tblGrid>
          <w:tr>
            <w:tc>
              <w:tcPr>
                <w:tcW w:w="15" w:type="dxa"/>
                <w:tcBorders>
                  <w:left w:val="single" w:sz="6" w:space="0" w:shadow="0" w:frame="0" w:color="000000"/>
                </w:tcBorders>
                <w:shd w:val="clear" w:color="auto" w:fill="FFFFFF"/>
                <w:vAlign w:val="center"/>
                <w:hideMark/>
              </w:tcPr>
              <w:p>
                <w:pPr>
                  <w:shd w:val="clear" w:fill="FFFFFF"/>
                  <w:ind w:left="0" w:right="0"/>
                  <w:rPr>
                    <w:rFonts w:ascii="Arial" w:hAnsi="Arial" w:cs="Arial"/>
                    <w:color w:val="000000"/>
                    <w:sz w:val="10"/>
                    <w:szCs w:val="10"/>
                    <w:shd w:val="clear" w:color="auto" w:fill="FFFFFF"/>
                  </w:rPr>
                </w:pPr>
                <w:r>
                  <w:rPr>
                    <w:rFonts w:ascii="Arial" w:hAnsi="Arial" w:cs="Arial"/>
                    <w:color w:val="000000"/>
                    <w:sz w:val="10"/>
                    <w:szCs w:val="10"/>
                    <w:shd w:val="clear" w:color="auto" w:fill="FFFFFF"/>
                  </w:rPr>
                  <w:t> </w:t>
                </w:r>
              </w:p>
            </w:tc>
            <w:tc>
              <w:tcPr>
                <w:tcW w:w="50" w:type="pct"/>
                <w:vAlign w:val="center"/>
                <w:hideMark/>
              </w:tcPr>
              <w:p>
                <w:pPr>
                  <w:ind w:left="0" w:right="0"/>
                  <w:rPr>
                    <w:rFonts w:ascii="Arial" w:hAnsi="Arial" w:cs="Arial"/>
                    <w:color w:val="000000"/>
                    <w:sz w:val="10"/>
                    <w:szCs w:val="10"/>
                  </w:rPr>
                </w:pPr>
                <w:r>
                  <w:rPr>
                    <w:rFonts w:ascii="Arial" w:hAnsi="Arial" w:cs="Arial"/>
                    <w:color w:val="000000"/>
                    <w:sz w:val="10"/>
                    <w:szCs w:val="10"/>
                  </w:rPr>
                  <w:t> </w:t>
                </w:r>
              </w:p>
            </w:tc>
            <w:tc>
              <w:tcPr>
                <w:tcW w:w="850" w:type="pct"/>
                <w:vAlign w:val="center"/>
                <w:hideMark/>
              </w:tcPr>
              <w:p>
                <w:pPr>
                  <w:ind w:left="0" w:right="0"/>
                  <w:rPr>
                    <w:rFonts w:ascii="Arial" w:hAnsi="Arial" w:cs="Arial"/>
                    <w:color w:val="000000"/>
                    <w:sz w:val="10"/>
                    <w:szCs w:val="10"/>
                  </w:rPr>
                </w:pPr>
                <w:r>
                  <w:rPr>
                    <w:rFonts w:ascii="Arial" w:hAnsi="Arial" w:cs="Arial"/>
                    <w:b w:val="1"/>
                    <w:color w:val="000000"/>
                    <w:sz w:val="10"/>
                    <w:szCs w:val="10"/>
                  </w:rPr>
                  <w:t>TOTO Europe GmbH</w:t>
                  <w:br w:type="textWrapping"/>
                </w:r>
                <w:r>
                  <w:rPr>
                    <w:rFonts w:ascii="Arial" w:hAnsi="Arial" w:cs="Arial"/>
                    <w:color w:val="000000"/>
                    <w:sz w:val="10"/>
                    <w:szCs w:val="10"/>
                  </w:rPr>
                  <w:t>Zollhof 2</w:t>
                  <w:br w:type="textWrapping"/>
                  <w:t>40221 Düsseldorf</w:t>
                  <w:br w:type="textWrapping"/>
                  <w:t>Germany</w:t>
                </w:r>
              </w:p>
            </w:tc>
            <w:tc>
              <w:tcPr>
                <w:tcW w:w="15" w:type="dxa"/>
                <w:tcBorders>
                  <w:left w:val="single" w:sz="6" w:space="0" w:shadow="0" w:frame="0" w:color="000000"/>
                </w:tcBorders>
                <w:shd w:val="clear" w:color="auto" w:fill="FFFFFF"/>
                <w:vAlign w:val="center"/>
                <w:hideMark/>
              </w:tcPr>
              <w:p>
                <w:pPr>
                  <w:shd w:val="clear" w:fill="FFFFFF"/>
                  <w:ind w:left="0" w:right="0"/>
                  <w:rPr>
                    <w:rFonts w:ascii="Arial" w:hAnsi="Arial" w:cs="Arial"/>
                    <w:color w:val="000000"/>
                    <w:sz w:val="10"/>
                    <w:szCs w:val="10"/>
                    <w:shd w:val="clear" w:color="auto" w:fill="FFFFFF"/>
                  </w:rPr>
                </w:pPr>
                <w:r>
                  <w:rPr>
                    <w:rFonts w:ascii="Arial" w:hAnsi="Arial" w:cs="Arial"/>
                    <w:color w:val="000000"/>
                    <w:sz w:val="10"/>
                    <w:szCs w:val="10"/>
                    <w:shd w:val="clear" w:color="auto" w:fill="FFFFFF"/>
                  </w:rPr>
                  <w:t> </w:t>
                </w:r>
              </w:p>
            </w:tc>
            <w:tc>
              <w:tcPr>
                <w:tcW w:w="50" w:type="pct"/>
                <w:vAlign w:val="center"/>
                <w:hideMark/>
              </w:tcPr>
              <w:p>
                <w:pPr>
                  <w:ind w:left="0" w:right="0"/>
                  <w:rPr>
                    <w:rFonts w:ascii="Arial" w:hAnsi="Arial" w:cs="Arial"/>
                    <w:color w:val="000000"/>
                    <w:sz w:val="10"/>
                    <w:szCs w:val="10"/>
                  </w:rPr>
                </w:pPr>
                <w:r>
                  <w:rPr>
                    <w:rFonts w:ascii="Arial" w:hAnsi="Arial" w:cs="Arial"/>
                    <w:color w:val="000000"/>
                    <w:sz w:val="10"/>
                    <w:szCs w:val="10"/>
                  </w:rPr>
                  <w:t> </w:t>
                </w:r>
              </w:p>
            </w:tc>
            <w:tc>
              <w:tcPr>
                <w:tcW w:w="850" w:type="pct"/>
                <w:vAlign w:val="center"/>
                <w:hideMark/>
              </w:tcPr>
              <w:p>
                <w:pPr>
                  <w:ind w:left="0" w:right="0"/>
                  <w:rPr>
                    <w:rFonts w:ascii="Arial" w:hAnsi="Arial" w:cs="Arial"/>
                    <w:color w:val="000000"/>
                    <w:sz w:val="10"/>
                    <w:szCs w:val="10"/>
                  </w:rPr>
                </w:pPr>
                <w:r>
                  <w:rPr>
                    <w:rFonts w:ascii="Arial" w:hAnsi="Arial" w:cs="Arial"/>
                    <w:color w:val="000000"/>
                    <w:sz w:val="10"/>
                    <w:szCs w:val="10"/>
                  </w:rPr>
                  <w:t>T +49 (0)211 2 73 08-200</w:t>
                  <w:br w:type="textWrapping"/>
                  <w:t>F +49 (0)211 2 73 08-202</w:t>
                  <w:br w:type="textWrapping"/>
                  <w:t>teu.info@toto.com</w:t>
                  <w:br w:type="textWrapping"/>
                  <w:t>eu.toto.com</w:t>
                </w:r>
              </w:p>
            </w:tc>
            <w:tc>
              <w:tcPr>
                <w:tcW w:w="15" w:type="dxa"/>
                <w:tcBorders>
                  <w:left w:val="single" w:sz="6" w:space="0" w:shadow="0" w:frame="0" w:color="000000"/>
                </w:tcBorders>
                <w:shd w:val="clear" w:color="auto" w:fill="FFFFFF"/>
                <w:vAlign w:val="center"/>
                <w:hideMark/>
              </w:tcPr>
              <w:p>
                <w:pPr>
                  <w:shd w:val="clear" w:fill="FFFFFF"/>
                  <w:ind w:left="0" w:right="0"/>
                  <w:rPr>
                    <w:rFonts w:ascii="Arial" w:hAnsi="Arial" w:cs="Arial"/>
                    <w:color w:val="000000"/>
                    <w:sz w:val="10"/>
                    <w:szCs w:val="10"/>
                    <w:shd w:val="clear" w:color="auto" w:fill="FFFFFF"/>
                  </w:rPr>
                </w:pPr>
                <w:r>
                  <w:rPr>
                    <w:rFonts w:ascii="Arial" w:hAnsi="Arial" w:cs="Arial"/>
                    <w:color w:val="000000"/>
                    <w:sz w:val="10"/>
                    <w:szCs w:val="10"/>
                    <w:shd w:val="clear" w:color="auto" w:fill="FFFFFF"/>
                  </w:rPr>
                  <w:t> </w:t>
                </w:r>
              </w:p>
            </w:tc>
            <w:tc>
              <w:tcPr>
                <w:tcW w:w="50" w:type="pct"/>
                <w:vAlign w:val="center"/>
                <w:hideMark/>
              </w:tcPr>
              <w:p>
                <w:pPr>
                  <w:ind w:left="0" w:right="0"/>
                  <w:rPr>
                    <w:rFonts w:ascii="Arial" w:hAnsi="Arial" w:cs="Arial"/>
                    <w:color w:val="000000"/>
                    <w:sz w:val="10"/>
                    <w:szCs w:val="10"/>
                  </w:rPr>
                </w:pPr>
                <w:r>
                  <w:rPr>
                    <w:rFonts w:ascii="Arial" w:hAnsi="Arial" w:cs="Arial"/>
                    <w:color w:val="000000"/>
                    <w:sz w:val="10"/>
                    <w:szCs w:val="10"/>
                  </w:rPr>
                  <w:t> </w:t>
                </w:r>
              </w:p>
            </w:tc>
            <w:tc>
              <w:tcPr>
                <w:tcW w:w="1150" w:type="pct"/>
                <w:vAlign w:val="center"/>
                <w:hideMark/>
              </w:tcPr>
              <w:p>
                <w:pPr>
                  <w:ind w:left="0" w:right="0"/>
                  <w:rPr>
                    <w:rFonts w:ascii="Arial" w:hAnsi="Arial" w:cs="Arial"/>
                    <w:color w:val="000000"/>
                    <w:sz w:val="10"/>
                    <w:szCs w:val="10"/>
                  </w:rPr>
                </w:pPr>
                <w:r>
                  <w:rPr>
                    <w:rFonts w:ascii="Arial" w:hAnsi="Arial" w:cs="Arial"/>
                    <w:color w:val="000000"/>
                    <w:sz w:val="10"/>
                    <w:szCs w:val="10"/>
                  </w:rPr>
                  <w:t>Commerzbank AG Essen</w:t>
                  <w:br w:type="textWrapping"/>
                  <w:t>BLZ: 360 400 39 . KTO: 150 6211</w:t>
                  <w:br w:type="textWrapping"/>
                  <w:t>IBAN: DE 32 36040039 0150621100</w:t>
                  <w:br w:type="textWrapping"/>
                  <w:t>BIC: COBADEFF360</w:t>
                </w:r>
              </w:p>
            </w:tc>
            <w:tc>
              <w:tcPr>
                <w:tcW w:w="15" w:type="dxa"/>
                <w:tcBorders>
                  <w:left w:val="single" w:sz="6" w:space="0" w:shadow="0" w:frame="0" w:color="000000"/>
                </w:tcBorders>
                <w:shd w:val="clear" w:color="auto" w:fill="FFFFFF"/>
                <w:vAlign w:val="center"/>
                <w:hideMark/>
              </w:tcPr>
              <w:p>
                <w:pPr>
                  <w:shd w:val="clear" w:fill="FFFFFF"/>
                  <w:ind w:left="0" w:right="0"/>
                  <w:rPr>
                    <w:rFonts w:ascii="Arial" w:hAnsi="Arial" w:cs="Arial"/>
                    <w:color w:val="000000"/>
                    <w:sz w:val="10"/>
                    <w:szCs w:val="10"/>
                    <w:shd w:val="clear" w:color="auto" w:fill="FFFFFF"/>
                  </w:rPr>
                </w:pPr>
                <w:r>
                  <w:rPr>
                    <w:rFonts w:ascii="Arial" w:hAnsi="Arial" w:cs="Arial"/>
                    <w:color w:val="000000"/>
                    <w:sz w:val="10"/>
                    <w:szCs w:val="10"/>
                    <w:shd w:val="clear" w:color="auto" w:fill="FFFFFF"/>
                  </w:rPr>
                  <w:t> </w:t>
                </w:r>
              </w:p>
            </w:tc>
            <w:tc>
              <w:tcPr>
                <w:tcW w:w="50" w:type="pct"/>
                <w:vAlign w:val="center"/>
                <w:hideMark/>
              </w:tcPr>
              <w:p>
                <w:pPr>
                  <w:ind w:left="0" w:right="0"/>
                  <w:rPr>
                    <w:rFonts w:ascii="Arial" w:hAnsi="Arial" w:cs="Arial"/>
                    <w:color w:val="000000"/>
                    <w:sz w:val="10"/>
                    <w:szCs w:val="10"/>
                  </w:rPr>
                </w:pPr>
                <w:r>
                  <w:rPr>
                    <w:rFonts w:ascii="Arial" w:hAnsi="Arial" w:cs="Arial"/>
                    <w:color w:val="000000"/>
                    <w:sz w:val="10"/>
                    <w:szCs w:val="10"/>
                  </w:rPr>
                  <w:t> </w:t>
                </w:r>
              </w:p>
            </w:tc>
            <w:tc>
              <w:tcPr>
                <w:tcW w:w="1050" w:type="pct"/>
                <w:vAlign w:val="center"/>
                <w:hideMark/>
              </w:tcPr>
              <w:p>
                <w:pPr>
                  <w:ind w:left="0" w:right="0"/>
                  <w:rPr>
                    <w:rFonts w:ascii="Arial" w:hAnsi="Arial" w:cs="Arial"/>
                    <w:color w:val="000000"/>
                    <w:sz w:val="10"/>
                    <w:szCs w:val="10"/>
                  </w:rPr>
                </w:pPr>
                <w:r>
                  <w:rPr>
                    <w:rFonts w:ascii="Arial" w:hAnsi="Arial" w:cs="Arial"/>
                    <w:color w:val="000000"/>
                    <w:sz w:val="10"/>
                    <w:szCs w:val="10"/>
                  </w:rPr>
                  <w:t>AG Düsseldorf . HRB 24827</w:t>
                  <w:br w:type="textWrapping"/>
                  <w:t>Managing Directors:</w:t>
                  <w:br w:type="textWrapping"/>
                  <w:t>Shinya Tamura, Tatsuhiko Yasaka</w:t>
                </w:r>
              </w:p>
            </w:tc>
            <w:tc>
              <w:tcPr>
                <w:tcW w:w="15" w:type="dxa"/>
                <w:tcBorders>
                  <w:left w:val="single" w:sz="6" w:space="0" w:shadow="0" w:frame="0" w:color="000000"/>
                </w:tcBorders>
                <w:shd w:val="clear" w:color="auto" w:fill="FFFFFF"/>
                <w:vAlign w:val="center"/>
                <w:hideMark/>
              </w:tcPr>
              <w:p>
                <w:pPr>
                  <w:shd w:val="clear" w:fill="FFFFFF"/>
                  <w:ind w:left="0" w:right="0"/>
                  <w:rPr>
                    <w:rFonts w:ascii="Arial" w:hAnsi="Arial" w:cs="Arial"/>
                    <w:color w:val="000000"/>
                    <w:sz w:val="10"/>
                    <w:szCs w:val="10"/>
                    <w:shd w:val="clear" w:color="auto" w:fill="FFFFFF"/>
                  </w:rPr>
                </w:pPr>
                <w:r>
                  <w:rPr>
                    <w:rFonts w:ascii="Arial" w:hAnsi="Arial" w:cs="Arial"/>
                    <w:color w:val="000000"/>
                    <w:sz w:val="10"/>
                    <w:szCs w:val="10"/>
                    <w:shd w:val="clear" w:color="auto" w:fill="FFFFFF"/>
                  </w:rPr>
                  <w:t> </w:t>
                </w:r>
              </w:p>
            </w:tc>
            <w:tc>
              <w:tcPr>
                <w:tcW w:w="50" w:type="pct"/>
                <w:vAlign w:val="center"/>
                <w:hideMark/>
              </w:tcPr>
              <w:p>
                <w:pPr>
                  <w:ind w:left="0" w:right="0"/>
                  <w:rPr>
                    <w:rFonts w:ascii="Arial" w:hAnsi="Arial" w:cs="Arial"/>
                    <w:color w:val="000000"/>
                    <w:sz w:val="10"/>
                    <w:szCs w:val="10"/>
                  </w:rPr>
                </w:pPr>
                <w:r>
                  <w:rPr>
                    <w:rFonts w:ascii="Arial" w:hAnsi="Arial" w:cs="Arial"/>
                    <w:color w:val="000000"/>
                    <w:sz w:val="10"/>
                    <w:szCs w:val="10"/>
                  </w:rPr>
                  <w:t> </w:t>
                </w:r>
              </w:p>
            </w:tc>
            <w:tc>
              <w:tcPr>
                <w:tcW w:w="850" w:type="pct"/>
                <w:vAlign w:val="center"/>
                <w:hideMark/>
              </w:tcPr>
              <w:p>
                <w:pPr>
                  <w:ind w:left="0" w:right="0"/>
                  <w:rPr>
                    <w:rFonts w:ascii="Arial" w:hAnsi="Arial" w:cs="Arial"/>
                    <w:color w:val="000000"/>
                    <w:sz w:val="10"/>
                    <w:szCs w:val="10"/>
                  </w:rPr>
                </w:pPr>
                <w:r>
                  <w:rPr>
                    <w:rFonts w:ascii="Arial" w:hAnsi="Arial" w:cs="Arial"/>
                    <w:color w:val="000000"/>
                    <w:sz w:val="10"/>
                    <w:szCs w:val="10"/>
                  </w:rPr>
                  <w:t>WEEE-Reg.-Nr. DE 88787165</w:t>
                  <w:br w:type="textWrapping"/>
                  <w:t>USTID-NR: DE258501442</w:t>
                  <w:br w:type="textWrapping"/>
                  <w:t>ST-NR: 106/5727/1323</w:t>
                  <w:br w:type="textWrapping"/>
                  <w:t>  </w:t>
                </w:r>
              </w:p>
            </w:tc>
            <w:tc>
              <w:tcPr>
                <w:tcW w:w="0" w:type="auto"/>
                <w:vAlign w:val="center"/>
                <w:hideMark/>
              </w:tcPr>
              <w:p>
                <w:pPr>
                  <w:ind w:left="0" w:right="0"/>
                  <w:rPr>
                    <w:rFonts w:ascii="Arial" w:hAnsi="Arial" w:cs="Arial"/>
                    <w:color w:val="000000"/>
                    <w:sz w:val="10"/>
                    <w:szCs w:val="10"/>
                  </w:rPr>
                </w:pPr>
                <w:r>
                  <w:rPr>
                    <w:rFonts w:ascii="Arial" w:hAnsi="Arial" w:cs="Arial"/>
                    <w:color w:val="000000"/>
                    <w:sz w:val="10"/>
                    <w:szCs w:val="10"/>
                  </w:rPr>
                  <w:t> </w:t>
                </w:r>
              </w:p>
            </w:tc>
          </w:tr>
        </w:tbl>
        <w:p>
          <w:pPr>
            <w:rPr>
              <w:rFonts w:ascii="Arial" w:hAnsi="Arial" w:cs="Arial"/>
              <w:color w:val="000000"/>
              <w:sz w:val="10"/>
              <w:szCs w:val="10"/>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pPr>
            <w:rPr>
              <w:rFonts w:ascii="Arial" w:hAnsi="Arial" w:cs="Arial"/>
              <w:color w:val="000000"/>
              <w:sz w:val="10"/>
              <w:szCs w:val="10"/>
            </w:rPr>
          </w:pPr>
        </w:p>
      </w:tc>
    </w:tr>
  </w:tbl>
  <w:p>
    <w:pPr>
      <w:rPr>
        <w:rFonts w:ascii="Arial" w:hAnsi="Arial" w:cs="Arial"/>
        <w:color w:val="000000"/>
        <w:sz w:val="2"/>
        <w:szCs w:val="2"/>
      </w:rPr>
    </w:pPr>
  </w:p>
</w:ftr>
</file>

<file path=word/footer2.xml><?xml version="1.0" encoding="utf-8"?>
<w:ft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jc w:val="left"/>
      <w:tblLayout w:type="fixed"/>
      <w:tblLook w:val="04A0"/>
    </w:tblPr>
    <w:tblGrid>
      <w:gridCol w:w="7056"/>
      <w:gridCol w:w="144"/>
    </w:tblGrid>
    <w:tr>
      <w:trPr/>
      <w:tc>
        <w:tcPr>
          <w:tcW w:w="4900" w:type="pct"/>
          <w:tcBorders>
            <w:top w:val="nil"/>
            <w:left w:val="nil"/>
            <w:bottom w:val="nil"/>
            <w:right w:val="nil"/>
          </w:tcBorders>
          <w:shd w:val="clear" w:color="auto" w:fill="auto"/>
          <w:tcMar>
            <w:top w:w="0" w:type="dxa"/>
            <w:left w:w="0" w:type="dxa"/>
            <w:bottom w:w="0" w:type="dxa"/>
            <w:right w:w="0" w:type="dxa"/>
          </w:tcMar>
          <w:vAlign w:val="bottom"/>
        </w:tcPr>
        <w:tbl>
          <w:tblPr>
            <w:tblW w:w="5000" w:type="pct"/>
            <w:tblCellSpacing w:w="0" w:type="dxa"/>
            <w:tblInd w:w="0" w:type="dxa"/>
            <w:tblBorders>
              <w:top w:val="nil" w:sz="0" w:space="0" w:shadow="0" w:frame="0" w:color="000000"/>
              <w:left w:val="nil" w:sz="0" w:space="0" w:shadow="0" w:frame="0" w:color="000000"/>
              <w:bottom w:val="nil" w:sz="0" w:space="0" w:shadow="0" w:frame="0" w:color="000000"/>
              <w:right w:val="nil" w:sz="0" w:space="0" w:shadow="0" w:frame="0" w:color="000000"/>
              <w:insideH w:val="none" w:sz="0" w:space="0" w:shadow="0" w:frame="0" w:color="auto"/>
              <w:insideV w:val="none" w:sz="0" w:space="0" w:shadow="0" w:frame="0" w:color="auto"/>
            </w:tblBorders>
            <w:tblLayout w:type="autofit"/>
            <w:tblCellMar>
              <w:top w:w="0" w:type="dxa"/>
              <w:left w:w="0" w:type="dxa"/>
              <w:bottom w:w="0" w:type="dxa"/>
              <w:right w:w="0" w:type="dxa"/>
            </w:tblCellMar>
          </w:tblPr>
          <w:tblGrid>
            <w:gridCol w:w="35"/>
            <w:gridCol w:w="70"/>
            <w:gridCol w:w="1186"/>
            <w:gridCol w:w="35"/>
            <w:gridCol w:w="70"/>
            <w:gridCol w:w="1203"/>
            <w:gridCol w:w="35"/>
            <w:gridCol w:w="70"/>
            <w:gridCol w:w="1607"/>
            <w:gridCol w:w="35"/>
            <w:gridCol w:w="70"/>
            <w:gridCol w:w="1457"/>
            <w:gridCol w:w="35"/>
            <w:gridCol w:w="70"/>
            <w:gridCol w:w="1194"/>
            <w:gridCol w:w="28"/>
          </w:tblGrid>
          <w:tr>
            <w:tc>
              <w:tcPr>
                <w:tcW w:w="15" w:type="dxa"/>
                <w:tcBorders>
                  <w:left w:val="single" w:sz="6" w:space="0" w:shadow="0" w:frame="0" w:color="000000"/>
                </w:tcBorders>
                <w:shd w:val="clear" w:color="auto" w:fill="FFFFFF"/>
                <w:vAlign w:val="center"/>
                <w:hideMark/>
              </w:tcPr>
              <w:p>
                <w:pPr>
                  <w:shd w:val="clear" w:fill="FFFFFF"/>
                  <w:ind w:left="0" w:right="0"/>
                  <w:rPr>
                    <w:rFonts w:ascii="Arial" w:hAnsi="Arial" w:cs="Arial"/>
                    <w:color w:val="000000"/>
                    <w:sz w:val="10"/>
                    <w:szCs w:val="10"/>
                    <w:shd w:val="clear" w:color="auto" w:fill="FFFFFF"/>
                  </w:rPr>
                </w:pPr>
                <w:r>
                  <w:rPr>
                    <w:rFonts w:ascii="Arial" w:hAnsi="Arial" w:cs="Arial"/>
                    <w:color w:val="000000"/>
                    <w:sz w:val="10"/>
                    <w:szCs w:val="10"/>
                    <w:shd w:val="clear" w:color="auto" w:fill="FFFFFF"/>
                  </w:rPr>
                  <w:t> </w:t>
                </w:r>
              </w:p>
            </w:tc>
            <w:tc>
              <w:tcPr>
                <w:tcW w:w="50" w:type="pct"/>
                <w:vAlign w:val="center"/>
                <w:hideMark/>
              </w:tcPr>
              <w:p>
                <w:pPr>
                  <w:ind w:left="0" w:right="0"/>
                  <w:rPr>
                    <w:rFonts w:ascii="Arial" w:hAnsi="Arial" w:cs="Arial"/>
                    <w:color w:val="000000"/>
                    <w:sz w:val="10"/>
                    <w:szCs w:val="10"/>
                  </w:rPr>
                </w:pPr>
                <w:r>
                  <w:rPr>
                    <w:rFonts w:ascii="Arial" w:hAnsi="Arial" w:cs="Arial"/>
                    <w:color w:val="000000"/>
                    <w:sz w:val="10"/>
                    <w:szCs w:val="10"/>
                  </w:rPr>
                  <w:t> </w:t>
                </w:r>
              </w:p>
            </w:tc>
            <w:tc>
              <w:tcPr>
                <w:tcW w:w="850" w:type="pct"/>
                <w:vAlign w:val="center"/>
                <w:hideMark/>
              </w:tcPr>
              <w:p>
                <w:pPr>
                  <w:ind w:left="0" w:right="0"/>
                  <w:rPr>
                    <w:rFonts w:ascii="Arial" w:hAnsi="Arial" w:cs="Arial"/>
                    <w:color w:val="000000"/>
                    <w:sz w:val="10"/>
                    <w:szCs w:val="10"/>
                  </w:rPr>
                </w:pPr>
                <w:r>
                  <w:rPr>
                    <w:rFonts w:ascii="Arial" w:hAnsi="Arial" w:cs="Arial"/>
                    <w:b w:val="1"/>
                    <w:color w:val="000000"/>
                    <w:sz w:val="10"/>
                    <w:szCs w:val="10"/>
                  </w:rPr>
                  <w:t>TOTO Europe GmbH</w:t>
                  <w:br w:type="textWrapping"/>
                </w:r>
                <w:r>
                  <w:rPr>
                    <w:rFonts w:ascii="Arial" w:hAnsi="Arial" w:cs="Arial"/>
                    <w:color w:val="000000"/>
                    <w:sz w:val="10"/>
                    <w:szCs w:val="10"/>
                  </w:rPr>
                  <w:t>Zollhof 2</w:t>
                  <w:br w:type="textWrapping"/>
                  <w:t>40221 Düsseldorf</w:t>
                  <w:br w:type="textWrapping"/>
                  <w:t>Germany</w:t>
                </w:r>
              </w:p>
            </w:tc>
            <w:tc>
              <w:tcPr>
                <w:tcW w:w="15" w:type="dxa"/>
                <w:tcBorders>
                  <w:left w:val="single" w:sz="6" w:space="0" w:shadow="0" w:frame="0" w:color="000000"/>
                </w:tcBorders>
                <w:shd w:val="clear" w:color="auto" w:fill="FFFFFF"/>
                <w:vAlign w:val="center"/>
                <w:hideMark/>
              </w:tcPr>
              <w:p>
                <w:pPr>
                  <w:shd w:val="clear" w:fill="FFFFFF"/>
                  <w:ind w:left="0" w:right="0"/>
                  <w:rPr>
                    <w:rFonts w:ascii="Arial" w:hAnsi="Arial" w:cs="Arial"/>
                    <w:color w:val="000000"/>
                    <w:sz w:val="10"/>
                    <w:szCs w:val="10"/>
                    <w:shd w:val="clear" w:color="auto" w:fill="FFFFFF"/>
                  </w:rPr>
                </w:pPr>
                <w:r>
                  <w:rPr>
                    <w:rFonts w:ascii="Arial" w:hAnsi="Arial" w:cs="Arial"/>
                    <w:color w:val="000000"/>
                    <w:sz w:val="10"/>
                    <w:szCs w:val="10"/>
                    <w:shd w:val="clear" w:color="auto" w:fill="FFFFFF"/>
                  </w:rPr>
                  <w:t> </w:t>
                </w:r>
              </w:p>
            </w:tc>
            <w:tc>
              <w:tcPr>
                <w:tcW w:w="50" w:type="pct"/>
                <w:vAlign w:val="center"/>
                <w:hideMark/>
              </w:tcPr>
              <w:p>
                <w:pPr>
                  <w:ind w:left="0" w:right="0"/>
                  <w:rPr>
                    <w:rFonts w:ascii="Arial" w:hAnsi="Arial" w:cs="Arial"/>
                    <w:color w:val="000000"/>
                    <w:sz w:val="10"/>
                    <w:szCs w:val="10"/>
                  </w:rPr>
                </w:pPr>
                <w:r>
                  <w:rPr>
                    <w:rFonts w:ascii="Arial" w:hAnsi="Arial" w:cs="Arial"/>
                    <w:color w:val="000000"/>
                    <w:sz w:val="10"/>
                    <w:szCs w:val="10"/>
                  </w:rPr>
                  <w:t> </w:t>
                </w:r>
              </w:p>
            </w:tc>
            <w:tc>
              <w:tcPr>
                <w:tcW w:w="850" w:type="pct"/>
                <w:vAlign w:val="center"/>
                <w:hideMark/>
              </w:tcPr>
              <w:p>
                <w:pPr>
                  <w:ind w:left="0" w:right="0"/>
                  <w:rPr>
                    <w:rFonts w:ascii="Arial" w:hAnsi="Arial" w:cs="Arial"/>
                    <w:color w:val="000000"/>
                    <w:sz w:val="10"/>
                    <w:szCs w:val="10"/>
                  </w:rPr>
                </w:pPr>
                <w:r>
                  <w:rPr>
                    <w:rFonts w:ascii="Arial" w:hAnsi="Arial" w:cs="Arial"/>
                    <w:color w:val="000000"/>
                    <w:sz w:val="10"/>
                    <w:szCs w:val="10"/>
                  </w:rPr>
                  <w:t>T +49 (0)211 2 73 08-200</w:t>
                  <w:br w:type="textWrapping"/>
                  <w:t>F +49 (0)211 2 73 08-202</w:t>
                  <w:br w:type="textWrapping"/>
                  <w:t>teu.info@toto.com</w:t>
                  <w:br w:type="textWrapping"/>
                  <w:t>eu.toto.com</w:t>
                </w:r>
              </w:p>
            </w:tc>
            <w:tc>
              <w:tcPr>
                <w:tcW w:w="15" w:type="dxa"/>
                <w:tcBorders>
                  <w:left w:val="single" w:sz="6" w:space="0" w:shadow="0" w:frame="0" w:color="000000"/>
                </w:tcBorders>
                <w:shd w:val="clear" w:color="auto" w:fill="FFFFFF"/>
                <w:vAlign w:val="center"/>
                <w:hideMark/>
              </w:tcPr>
              <w:p>
                <w:pPr>
                  <w:shd w:val="clear" w:fill="FFFFFF"/>
                  <w:ind w:left="0" w:right="0"/>
                  <w:rPr>
                    <w:rFonts w:ascii="Arial" w:hAnsi="Arial" w:cs="Arial"/>
                    <w:color w:val="000000"/>
                    <w:sz w:val="10"/>
                    <w:szCs w:val="10"/>
                    <w:shd w:val="clear" w:color="auto" w:fill="FFFFFF"/>
                  </w:rPr>
                </w:pPr>
                <w:r>
                  <w:rPr>
                    <w:rFonts w:ascii="Arial" w:hAnsi="Arial" w:cs="Arial"/>
                    <w:color w:val="000000"/>
                    <w:sz w:val="10"/>
                    <w:szCs w:val="10"/>
                    <w:shd w:val="clear" w:color="auto" w:fill="FFFFFF"/>
                  </w:rPr>
                  <w:t> </w:t>
                </w:r>
              </w:p>
            </w:tc>
            <w:tc>
              <w:tcPr>
                <w:tcW w:w="50" w:type="pct"/>
                <w:vAlign w:val="center"/>
                <w:hideMark/>
              </w:tcPr>
              <w:p>
                <w:pPr>
                  <w:ind w:left="0" w:right="0"/>
                  <w:rPr>
                    <w:rFonts w:ascii="Arial" w:hAnsi="Arial" w:cs="Arial"/>
                    <w:color w:val="000000"/>
                    <w:sz w:val="10"/>
                    <w:szCs w:val="10"/>
                  </w:rPr>
                </w:pPr>
                <w:r>
                  <w:rPr>
                    <w:rFonts w:ascii="Arial" w:hAnsi="Arial" w:cs="Arial"/>
                    <w:color w:val="000000"/>
                    <w:sz w:val="10"/>
                    <w:szCs w:val="10"/>
                  </w:rPr>
                  <w:t> </w:t>
                </w:r>
              </w:p>
            </w:tc>
            <w:tc>
              <w:tcPr>
                <w:tcW w:w="1150" w:type="pct"/>
                <w:vAlign w:val="center"/>
                <w:hideMark/>
              </w:tcPr>
              <w:p>
                <w:pPr>
                  <w:ind w:left="0" w:right="0"/>
                  <w:rPr>
                    <w:rFonts w:ascii="Arial" w:hAnsi="Arial" w:cs="Arial"/>
                    <w:color w:val="000000"/>
                    <w:sz w:val="10"/>
                    <w:szCs w:val="10"/>
                  </w:rPr>
                </w:pPr>
                <w:r>
                  <w:rPr>
                    <w:rFonts w:ascii="Arial" w:hAnsi="Arial" w:cs="Arial"/>
                    <w:color w:val="000000"/>
                    <w:sz w:val="10"/>
                    <w:szCs w:val="10"/>
                  </w:rPr>
                  <w:t>Commerzbank AG Essen</w:t>
                  <w:br w:type="textWrapping"/>
                  <w:t>BLZ: 360 400 39 . KTO: 150 6211</w:t>
                  <w:br w:type="textWrapping"/>
                  <w:t>IBAN: DE 32 36040039 0150621100</w:t>
                  <w:br w:type="textWrapping"/>
                  <w:t>BIC: COBADEFF360</w:t>
                </w:r>
              </w:p>
            </w:tc>
            <w:tc>
              <w:tcPr>
                <w:tcW w:w="15" w:type="dxa"/>
                <w:tcBorders>
                  <w:left w:val="single" w:sz="6" w:space="0" w:shadow="0" w:frame="0" w:color="000000"/>
                </w:tcBorders>
                <w:shd w:val="clear" w:color="auto" w:fill="FFFFFF"/>
                <w:vAlign w:val="center"/>
                <w:hideMark/>
              </w:tcPr>
              <w:p>
                <w:pPr>
                  <w:shd w:val="clear" w:fill="FFFFFF"/>
                  <w:ind w:left="0" w:right="0"/>
                  <w:rPr>
                    <w:rFonts w:ascii="Arial" w:hAnsi="Arial" w:cs="Arial"/>
                    <w:color w:val="000000"/>
                    <w:sz w:val="10"/>
                    <w:szCs w:val="10"/>
                    <w:shd w:val="clear" w:color="auto" w:fill="FFFFFF"/>
                  </w:rPr>
                </w:pPr>
                <w:r>
                  <w:rPr>
                    <w:rFonts w:ascii="Arial" w:hAnsi="Arial" w:cs="Arial"/>
                    <w:color w:val="000000"/>
                    <w:sz w:val="10"/>
                    <w:szCs w:val="10"/>
                    <w:shd w:val="clear" w:color="auto" w:fill="FFFFFF"/>
                  </w:rPr>
                  <w:t> </w:t>
                </w:r>
              </w:p>
            </w:tc>
            <w:tc>
              <w:tcPr>
                <w:tcW w:w="50" w:type="pct"/>
                <w:vAlign w:val="center"/>
                <w:hideMark/>
              </w:tcPr>
              <w:p>
                <w:pPr>
                  <w:ind w:left="0" w:right="0"/>
                  <w:rPr>
                    <w:rFonts w:ascii="Arial" w:hAnsi="Arial" w:cs="Arial"/>
                    <w:color w:val="000000"/>
                    <w:sz w:val="10"/>
                    <w:szCs w:val="10"/>
                  </w:rPr>
                </w:pPr>
                <w:r>
                  <w:rPr>
                    <w:rFonts w:ascii="Arial" w:hAnsi="Arial" w:cs="Arial"/>
                    <w:color w:val="000000"/>
                    <w:sz w:val="10"/>
                    <w:szCs w:val="10"/>
                  </w:rPr>
                  <w:t> </w:t>
                </w:r>
              </w:p>
            </w:tc>
            <w:tc>
              <w:tcPr>
                <w:tcW w:w="1050" w:type="pct"/>
                <w:vAlign w:val="center"/>
                <w:hideMark/>
              </w:tcPr>
              <w:p>
                <w:pPr>
                  <w:ind w:left="0" w:right="0"/>
                  <w:rPr>
                    <w:rFonts w:ascii="Arial" w:hAnsi="Arial" w:cs="Arial"/>
                    <w:color w:val="000000"/>
                    <w:sz w:val="10"/>
                    <w:szCs w:val="10"/>
                  </w:rPr>
                </w:pPr>
                <w:r>
                  <w:rPr>
                    <w:rFonts w:ascii="Arial" w:hAnsi="Arial" w:cs="Arial"/>
                    <w:color w:val="000000"/>
                    <w:sz w:val="10"/>
                    <w:szCs w:val="10"/>
                  </w:rPr>
                  <w:t>AG Düsseldorf . HRB 24827</w:t>
                  <w:br w:type="textWrapping"/>
                  <w:t>Managing Directors:</w:t>
                  <w:br w:type="textWrapping"/>
                  <w:t>Shinya Tamura, Tatsuhiko Yasaka</w:t>
                  <w:br w:type="textWrapping"/>
                  <w:t>  </w:t>
                </w:r>
              </w:p>
            </w:tc>
            <w:tc>
              <w:tcPr>
                <w:tcW w:w="15" w:type="dxa"/>
                <w:tcBorders>
                  <w:left w:val="single" w:sz="6" w:space="0" w:shadow="0" w:frame="0" w:color="000000"/>
                </w:tcBorders>
                <w:shd w:val="clear" w:color="auto" w:fill="FFFFFF"/>
                <w:vAlign w:val="center"/>
                <w:hideMark/>
              </w:tcPr>
              <w:p>
                <w:pPr>
                  <w:shd w:val="clear" w:fill="FFFFFF"/>
                  <w:ind w:left="0" w:right="0"/>
                  <w:rPr>
                    <w:rFonts w:ascii="Arial" w:hAnsi="Arial" w:cs="Arial"/>
                    <w:color w:val="000000"/>
                    <w:sz w:val="10"/>
                    <w:szCs w:val="10"/>
                    <w:shd w:val="clear" w:color="auto" w:fill="FFFFFF"/>
                  </w:rPr>
                </w:pPr>
                <w:r>
                  <w:rPr>
                    <w:rFonts w:ascii="Arial" w:hAnsi="Arial" w:cs="Arial"/>
                    <w:color w:val="000000"/>
                    <w:sz w:val="10"/>
                    <w:szCs w:val="10"/>
                    <w:shd w:val="clear" w:color="auto" w:fill="FFFFFF"/>
                  </w:rPr>
                  <w:t> </w:t>
                </w:r>
              </w:p>
            </w:tc>
            <w:tc>
              <w:tcPr>
                <w:tcW w:w="50" w:type="pct"/>
                <w:vAlign w:val="center"/>
                <w:hideMark/>
              </w:tcPr>
              <w:p>
                <w:pPr>
                  <w:ind w:left="0" w:right="0"/>
                  <w:rPr>
                    <w:rFonts w:ascii="Arial" w:hAnsi="Arial" w:cs="Arial"/>
                    <w:color w:val="000000"/>
                    <w:sz w:val="10"/>
                    <w:szCs w:val="10"/>
                  </w:rPr>
                </w:pPr>
                <w:r>
                  <w:rPr>
                    <w:rFonts w:ascii="Arial" w:hAnsi="Arial" w:cs="Arial"/>
                    <w:color w:val="000000"/>
                    <w:sz w:val="10"/>
                    <w:szCs w:val="10"/>
                  </w:rPr>
                  <w:t> </w:t>
                </w:r>
              </w:p>
            </w:tc>
            <w:tc>
              <w:tcPr>
                <w:tcW w:w="850" w:type="pct"/>
                <w:vAlign w:val="center"/>
                <w:hideMark/>
              </w:tcPr>
              <w:p>
                <w:pPr>
                  <w:ind w:left="0" w:right="0"/>
                  <w:rPr>
                    <w:rFonts w:ascii="Arial" w:hAnsi="Arial" w:cs="Arial"/>
                    <w:color w:val="000000"/>
                    <w:sz w:val="10"/>
                    <w:szCs w:val="10"/>
                  </w:rPr>
                </w:pPr>
                <w:r>
                  <w:rPr>
                    <w:rFonts w:ascii="Arial" w:hAnsi="Arial" w:cs="Arial"/>
                    <w:color w:val="000000"/>
                    <w:sz w:val="10"/>
                    <w:szCs w:val="10"/>
                  </w:rPr>
                  <w:t>WEEE-Reg.-Nr. DE 88787165</w:t>
                  <w:br w:type="textWrapping"/>
                  <w:t>USTID-NR: DE258501442</w:t>
                  <w:br w:type="textWrapping"/>
                  <w:t>ST-NR: 106/5727/1323</w:t>
                  <w:br w:type="textWrapping"/>
                  <w:t>  </w:t>
                </w:r>
              </w:p>
            </w:tc>
            <w:tc>
              <w:tcPr>
                <w:tcW w:w="0" w:type="auto"/>
                <w:vAlign w:val="center"/>
                <w:hideMark/>
              </w:tcPr>
              <w:p>
                <w:pPr>
                  <w:ind w:left="0" w:right="0"/>
                  <w:rPr>
                    <w:rFonts w:ascii="Arial" w:hAnsi="Arial" w:cs="Arial"/>
                    <w:color w:val="000000"/>
                    <w:sz w:val="10"/>
                    <w:szCs w:val="10"/>
                  </w:rPr>
                </w:pPr>
                <w:r>
                  <w:rPr>
                    <w:rFonts w:ascii="Arial" w:hAnsi="Arial" w:cs="Arial"/>
                    <w:color w:val="000000"/>
                    <w:sz w:val="10"/>
                    <w:szCs w:val="10"/>
                  </w:rPr>
                  <w:t> </w:t>
                </w:r>
              </w:p>
            </w:tc>
          </w:tr>
        </w:tbl>
        <w:p>
          <w:pPr>
            <w:rPr>
              <w:rFonts w:ascii="Arial" w:hAnsi="Arial" w:cs="Arial"/>
              <w:color w:val="000000"/>
              <w:sz w:val="10"/>
              <w:szCs w:val="10"/>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pPr>
            <w:rPr>
              <w:rFonts w:ascii="Arial" w:hAnsi="Arial" w:cs="Arial"/>
              <w:color w:val="000000"/>
              <w:sz w:val="10"/>
              <w:szCs w:val="10"/>
            </w:rPr>
          </w:pPr>
          <w:r>
            <w:rPr>
              <w:rFonts w:ascii="Arial" w:hAnsi="Arial" w:cs="Arial"/>
              <w:color w:val="000000"/>
              <w:sz w:val="10"/>
              <w:szCs w:val="10"/>
            </w:rPr>
            <w:fldChar w:fldCharType="begin"/>
          </w:r>
          <w:r>
            <w:rPr>
              <w:rFonts w:ascii="Arial" w:hAnsi="Arial" w:cs="Arial"/>
              <w:color w:val="000000"/>
              <w:sz w:val="10"/>
              <w:szCs w:val="10"/>
            </w:rPr>
            <w:instrText>PAGE \* ARABIC</w:instrText>
          </w:r>
          <w:r>
            <w:rPr>
              <w:rFonts w:ascii="Arial" w:hAnsi="Arial" w:cs="Arial"/>
              <w:color w:val="000000"/>
              <w:sz w:val="10"/>
              <w:szCs w:val="10"/>
            </w:rPr>
            <w:fldChar w:fldCharType="separate"/>
          </w:r>
          <w:r>
            <w:rPr>
              <w:rFonts w:ascii="Arial" w:hAnsi="Arial" w:cs="Arial"/>
              <w:color w:val="000000"/>
              <w:sz w:val="10"/>
              <w:szCs w:val="10"/>
            </w:rPr>
            <w:t>#</w:t>
          </w:r>
          <w:r>
            <w:rPr>
              <w:rFonts w:ascii="Arial" w:hAnsi="Arial" w:cs="Arial"/>
              <w:color w:val="000000"/>
              <w:sz w:val="10"/>
              <w:szCs w:val="10"/>
            </w:rPr>
            <w:fldChar w:fldCharType="end"/>
          </w:r>
        </w:p>
      </w:tc>
    </w:tr>
  </w:tbl>
  <w:p>
    <w:pPr>
      <w:rPr>
        <w:rFonts w:ascii="Arial" w:hAnsi="Arial" w:cs="Arial"/>
        <w:color w:val="000000"/>
        <w:sz w:val="2"/>
        <w:szCs w:val="2"/>
      </w:rPr>
    </w:pPr>
  </w:p>
</w:ftr>
</file>

<file path=word/header1.xml><?xml version="1.0" encoding="utf-8"?>
<w:hd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pPr>
      <w:rPr>
        <w:color w:val="343434"/>
      </w:rPr>
    </w:pPr>
    <w:r>
      <w:rPr>
        <w:color w:val="343434"/>
      </w:rPr>
      <w:drawing>
        <wp:anchor xmlns:wp="http://schemas.openxmlformats.org/drawingml/2006/wordprocessingDrawing" distT="0" distB="0" distL="114300" distR="114300" simplePos="0" relativeHeight="0" behindDoc="0" locked="0" layoutInCell="0" allowOverlap="0">
          <wp:simplePos x="0" y="0"/>
          <wp:positionH relativeFrom="page">
            <wp:posOffset>5544185</wp:posOffset>
          </wp:positionH>
          <wp:positionV relativeFrom="page">
            <wp:posOffset>396240</wp:posOffset>
          </wp:positionV>
          <wp:extent cx="1368425" cy="318135"/>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xmlns:r="http://schemas.openxmlformats.org/officeDocument/2006/relationships" r:embed="Relimage6"/>
                  <a:srcRect/>
                  <a:stretch>
                    <a:fillRect/>
                  </a:stretch>
                </pic:blipFill>
                <pic:spPr>
                  <a:xfrm>
                    <a:off x="0" y="0"/>
                    <a:ext cx="1368425" cy="318135"/>
                  </a:xfrm>
                  <a:prstGeom prst="rect"/>
                </pic:spPr>
              </pic:pic>
            </a:graphicData>
          </a:graphic>
        </wp:anchor>
      </w:drawing>
    </w:r>
    <w:r>
      <w:rPr>
        <w:rFonts w:ascii="arial" w:hAnsi="arial" w:cs="arial" w:eastAsia="arial"/>
        <w:b w:val="1"/>
        <w:color w:val="343434"/>
        <w:sz w:val="24"/>
        <w:szCs w:val="24"/>
      </w:rPr>
      <w:t>Press Information</w:t>
    </w:r>
  </w:p>
</w:hdr>
</file>

<file path=word/header2.xml><?xml version="1.0" encoding="utf-8"?>
<w:hd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r>
      <w:drawing>
        <wp:anchor xmlns:wp="http://schemas.openxmlformats.org/drawingml/2006/wordprocessingDrawing" distT="0" distB="0" distL="114300" distR="114300" simplePos="0" relativeHeight="0" behindDoc="0" locked="0" layoutInCell="0" allowOverlap="0">
          <wp:simplePos x="0" y="0"/>
          <wp:positionH relativeFrom="page">
            <wp:posOffset>5723890</wp:posOffset>
          </wp:positionH>
          <wp:positionV relativeFrom="page">
            <wp:posOffset>396240</wp:posOffset>
          </wp:positionV>
          <wp:extent cx="1368425" cy="318135"/>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dpi="0">
                  <a:blip xmlns:r="http://schemas.openxmlformats.org/officeDocument/2006/relationships" r:embed="Relimage7"/>
                  <a:srcRect/>
                  <a:stretch>
                    <a:fillRect/>
                  </a:stretch>
                </pic:blipFill>
                <pic:spPr>
                  <a:xfrm>
                    <a:off x="0" y="0"/>
                    <a:ext cx="1368425" cy="318135"/>
                  </a:xfrm>
                  <a:prstGeom prst="rect"/>
                </pic:spPr>
              </pic:pic>
            </a:graphicData>
          </a:graphic>
        </wp:anchor>
      </w:drawing>
    </w:r>
    <w:r>
      <w:rPr>
        <w:rFonts w:ascii="arial" w:hAnsi="arial" w:cs="arial" w:eastAsia="arial"/>
        <w:b w:val="1"/>
        <w:sz w:val="24"/>
        <w:szCs w:val="24"/>
      </w:rPr>
      <w:t>Press Information</w:t>
    </w:r>
  </w:p>
</w:hdr>
</file>

<file path=word/numbering.xml><?xml version="1.0" encoding="utf-8"?>
<w:numbering xmlns:w="http://schemas.openxmlformats.org/wordprocessingml/2006/main"/>
</file>

<file path=word/settings.xml><?xml version="1.0" encoding="utf-8"?>
<w:settings xmlns:w="http://schemas.openxmlformats.org/wordprocessingml/2006/main">
  <w:displayBackgroundShape w:val="0"/>
  <w:defaultTabStop w:val="720"/>
  <w:autoHyphenation w:val="0"/>
  <w:evenAndOddHeaders w:val="0"/>
  <w:characterSpacingControl w:val="compressPunctuation"/>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w:docDefaults>
    <w:rPrDefault>
      <w:rPr>
        <w:rFonts w:ascii="Arial" w:hAnsi="Arial" w:cs="Arial" w:eastAsiaTheme="minorEastAsia"/>
        <w:color w:val="000000"/>
        <w:sz w:val="22"/>
        <w:szCs w:val="22"/>
      </w:rPr>
    </w:rPrDefault>
    <w:pPrDefault>
      <w:pPr>
        <w:keepNext w:val="0"/>
        <w:keepLines w:val="0"/>
        <w:pageBreakBefore w:val="0"/>
        <w:widowControl w:val="1"/>
        <w:suppressLineNumbers w:val="0"/>
        <w:shd w:val="clear" w:fill="auto"/>
        <w:suppressAutoHyphens w:val="0"/>
        <w:spacing w:lineRule="auto" w:line="288" w:before="0" w:after="0" w:beforeAutospacing="0" w:afterAutospacing="0"/>
        <w:ind w:firstLine="0" w:left="0" w:right="0"/>
        <w:contextualSpacing w:val="0"/>
        <w:bidi w:val="0"/>
        <w:jc w:val="left"/>
        <w:outlineLvl w:val="9"/>
      </w:pPr>
    </w:pPrDefault>
  </w:docDefaults>
  <w:style w:type="paragraph" w:styleId="P0" w:default="1">
    <w:name w:val="Normal"/>
    <w:pPr/>
    <w:rPr/>
  </w:style>
  <w:style w:type="character" w:styleId="C0" w:default="1">
    <w:name w:val="Default Paragraph Font"/>
    <w:semiHidden/>
    <w:rPr/>
  </w:style>
  <w:style w:type="character" w:styleId="C1">
    <w:name w:val="Line Number"/>
    <w:basedOn w:val="C0"/>
    <w:semiHidden/>
    <w:rPr/>
  </w:style>
  <w:style w:type="character" w:styleId="C2">
    <w:name w:val="Hyperlink"/>
    <w:rPr>
      <w:color w:val="0000FF"/>
      <w:u w:val="single"/>
    </w:rPr>
  </w:style>
  <w:style w:type="table" w:styleId="T0" w:default="1">
    <w:name w:val="Normal Table"/>
    <w:tblPr>
      <w:tblCellMar>
        <w:top w:w="0" w:type="dxa"/>
        <w:left w:w="108" w:type="dxa"/>
        <w:bottom w:w="0" w:type="dxa"/>
        <w:right w:w="108" w:type="dxa"/>
      </w:tblCellMar>
    </w:tblPr>
    <w:trPr/>
    <w:tcPr/>
  </w:style>
  <w:style w:type="table" w:styleId="T1">
    <w:name w:val="Table Simple 1"/>
    <w:basedOn w:val="T0"/>
    <w:tblPr>
      <w:tblBorders>
        <w:top w:val="single" w:sz="4" w:space="0" w:shadow="0" w:frame="0" w:color="000000"/>
        <w:left w:val="single" w:sz="4" w:space="0" w:shadow="0" w:frame="0" w:color="000000"/>
        <w:bottom w:val="single" w:sz="4" w:space="0" w:shadow="0" w:frame="0" w:color="000000"/>
        <w:right w:val="single" w:sz="4" w:space="0" w:shadow="0" w:frame="0" w:color="000000"/>
        <w:insideH w:val="single" w:sz="4" w:space="0" w:shadow="0" w:frame="0" w:color="000000"/>
        <w:insideV w:val="single" w:sz="4" w:space="0" w:shadow="0" w:frame="0" w:color="000000"/>
      </w:tblBorders>
      <w:tblCellMar>
        <w:top w:w="0" w:type="dxa"/>
        <w:left w:w="108" w:type="dxa"/>
        <w:bottom w:w="0" w:type="dxa"/>
        <w:right w:w="108" w:type="dxa"/>
      </w:tblCellMar>
    </w:tblPr>
    <w:trPr/>
    <w:tcPr/>
  </w:style>
</w:styles>
</file>

<file path=word/_rels/document.xml.rels>&#65279;<?xml version="1.0" encoding="utf-8"?><Relationships xmlns="http://schemas.openxmlformats.org/package/2006/relationships"><Relationship Id="Relimage1" Type="http://schemas.openxmlformats.org/officeDocument/2006/relationships/image" Target="/media/image1.jpg" /><Relationship Id="Relimage2" Type="http://schemas.openxmlformats.org/officeDocument/2006/relationships/image" Target="/media/image2.jpg" /><Relationship Id="Relimage3" Type="http://schemas.openxmlformats.org/officeDocument/2006/relationships/image" Target="/media/image3.jpg" /><Relationship Id="Relimage4" Type="http://schemas.openxmlformats.org/officeDocument/2006/relationships/image" Target="/media/image4.jpg" /><Relationship Id="Relimage5" Type="http://schemas.openxmlformats.org/officeDocument/2006/relationships/image" Target="/media/image5.jpg" /><Relationship Id="R2" Type="http://schemas.openxmlformats.org/officeDocument/2006/relationships/hyperlink" Target="https://eu.toto.com/de" TargetMode="External" /><Relationship Id="R3" Type="http://schemas.openxmlformats.org/officeDocument/2006/relationships/hyperlink" Target="https://sciencebasedtargets.org/about-us" TargetMode="External" /><Relationship Id="R4" Type="http://schemas.openxmlformats.org/officeDocument/2006/relationships/hyperlink" Target="https://jp.toto.com/assets/files/report2024_data_en.pdf" TargetMode="External" /><Relationship Id="R5" Type="http://schemas.openxmlformats.org/officeDocument/2006/relationships/hyperlink" Target="https://eu.toto.com/de" TargetMode="External" /><Relationship Id="RelHdr1" Type="http://schemas.openxmlformats.org/officeDocument/2006/relationships/header" Target="header1.xml" /><Relationship Id="RelHdr2" Type="http://schemas.openxmlformats.org/officeDocument/2006/relationships/header" Target="header2.xml" /><Relationship Id="RelFtr1" Type="http://schemas.openxmlformats.org/officeDocument/2006/relationships/footer" Target="footer1.xml" /><Relationship Id="RelFtr2" Type="http://schemas.openxmlformats.org/officeDocument/2006/relationships/footer" Target="footer2.xml" /><Relationship Id="RelStyle1" Type="http://schemas.openxmlformats.org/officeDocument/2006/relationships/styles" Target="styles.xml" /><Relationship Id="RelNum1" Type="http://schemas.openxmlformats.org/officeDocument/2006/relationships/numbering" Target="numbering.xml" /><Relationship Id="RelSettings1" Type="http://schemas.openxmlformats.org/officeDocument/2006/relationships/settings" Target="settings.xml" /><Relationship Id="RelTheme1" Type="http://schemas.openxmlformats.org/officeDocument/2006/relationships/theme" Target="theme/theme1.xml" /></Relationships>
</file>

<file path=word/_rels/footer1.xml.rels>&#65279;<?xml version="1.0" encoding="utf-8"?><Relationships xmlns="http://schemas.openxmlformats.org/package/2006/relationships" />
</file>

<file path=word/_rels/footer2.xml.rels>&#65279;<?xml version="1.0" encoding="utf-8"?><Relationships xmlns="http://schemas.openxmlformats.org/package/2006/relationships" />
</file>

<file path=word/_rels/header1.xml.rels>&#65279;<?xml version="1.0" encoding="utf-8"?><Relationships xmlns="http://schemas.openxmlformats.org/package/2006/relationships"><Relationship Id="Relimage6" Type="http://schemas.openxmlformats.org/officeDocument/2006/relationships/image" Target="/media/image6.jpg" /></Relationships>
</file>

<file path=word/_rels/header2.xml.rels>&#65279;<?xml version="1.0" encoding="utf-8"?><Relationships xmlns="http://schemas.openxmlformats.org/package/2006/relationships"><Relationship Id="Relimage7" Type="http://schemas.openxmlformats.org/officeDocument/2006/relationships/image" Target="/media/image7.jp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theme>
</file>

<file path=docProps/app.xml><?xml version="1.0" encoding="utf-8"?>
<Properties xmlns="http://schemas.openxmlformats.org/officeDocument/2006/extended-properties">
  <Application>DevExpress Office File API/23.2.6.0</Application>
  <AppVersion>23.2</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terms:created xsi:type="dcterms:W3CDTF">2025-03-11T11:30:45Z</dcterms:created>
  <dcterms:modified xsi:type="dcterms:W3CDTF">2025-03-11T11:30:46Z</dcterms:modified>
  <cp:revision>1</cp:revision>
</cp:coreProperties>
</file>