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8D098" w14:textId="77777777" w:rsidR="00E30267" w:rsidRDefault="00000000">
      <w:pPr>
        <w:rPr>
          <w:b/>
          <w:bCs/>
          <w:sz w:val="32"/>
          <w:szCs w:val="32"/>
        </w:rPr>
      </w:pPr>
      <w:r>
        <w:rPr>
          <w:b/>
          <w:bCs/>
          <w:sz w:val="32"/>
          <w:szCs w:val="32"/>
        </w:rPr>
        <w:t>Flexibilität und Komfort im Badezimmer</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E30267" w14:paraId="0171AE0C" w14:textId="77777777">
        <w:tc>
          <w:tcPr>
            <w:tcW w:w="3800" w:type="pct"/>
            <w:gridSpan w:val="2"/>
            <w:tcBorders>
              <w:top w:val="nil"/>
              <w:left w:val="nil"/>
              <w:bottom w:val="nil"/>
              <w:right w:val="nil"/>
            </w:tcBorders>
            <w:tcMar>
              <w:top w:w="0" w:type="dxa"/>
              <w:left w:w="0" w:type="dxa"/>
              <w:bottom w:w="0" w:type="dxa"/>
              <w:right w:w="227" w:type="dxa"/>
            </w:tcMar>
          </w:tcPr>
          <w:p w14:paraId="76A7176E" w14:textId="454A9AEB" w:rsidR="00E30267" w:rsidRDefault="00000000">
            <w:r>
              <w:t>Modular, flexibel, zukunftssicher: TOTO stellt neuen Spülrahmen vor.</w:t>
            </w:r>
          </w:p>
        </w:tc>
        <w:tc>
          <w:tcPr>
            <w:tcW w:w="1200" w:type="pct"/>
            <w:tcBorders>
              <w:top w:val="nil"/>
              <w:left w:val="nil"/>
              <w:bottom w:val="nil"/>
              <w:right w:val="nil"/>
            </w:tcBorders>
            <w:tcMar>
              <w:top w:w="0" w:type="dxa"/>
              <w:left w:w="0" w:type="dxa"/>
              <w:bottom w:w="0" w:type="dxa"/>
              <w:right w:w="227" w:type="dxa"/>
            </w:tcMar>
          </w:tcPr>
          <w:p w14:paraId="033ACA5B" w14:textId="77777777" w:rsidR="00E30267" w:rsidRDefault="00E30267"/>
        </w:tc>
      </w:tr>
      <w:tr w:rsidR="00E30267" w14:paraId="703240B2" w14:textId="77777777">
        <w:trPr>
          <w:gridAfter w:val="1"/>
          <w:wAfter w:w="1728" w:type="dxa"/>
        </w:trPr>
        <w:tc>
          <w:tcPr>
            <w:tcW w:w="2736" w:type="dxa"/>
            <w:tcBorders>
              <w:top w:val="nil"/>
              <w:left w:val="nil"/>
              <w:bottom w:val="nil"/>
              <w:right w:val="nil"/>
            </w:tcBorders>
            <w:tcMar>
              <w:top w:w="0" w:type="dxa"/>
              <w:left w:w="0" w:type="dxa"/>
              <w:bottom w:w="0" w:type="dxa"/>
              <w:right w:w="227" w:type="dxa"/>
            </w:tcMar>
          </w:tcPr>
          <w:p w14:paraId="012EC38E" w14:textId="77777777" w:rsidR="00E30267" w:rsidRDefault="00E30267"/>
        </w:tc>
        <w:tc>
          <w:tcPr>
            <w:tcW w:w="2736" w:type="dxa"/>
            <w:tcBorders>
              <w:top w:val="nil"/>
              <w:left w:val="nil"/>
              <w:bottom w:val="nil"/>
              <w:right w:val="nil"/>
            </w:tcBorders>
            <w:tcMar>
              <w:top w:w="0" w:type="dxa"/>
              <w:left w:w="0" w:type="dxa"/>
              <w:bottom w:w="0" w:type="dxa"/>
              <w:right w:w="227" w:type="dxa"/>
            </w:tcMar>
          </w:tcPr>
          <w:p w14:paraId="7A10C3BE" w14:textId="77777777" w:rsidR="00E30267" w:rsidRDefault="00E30267"/>
        </w:tc>
      </w:tr>
    </w:tbl>
    <w:p w14:paraId="52E8D5A3" w14:textId="77777777" w:rsidR="00E30267" w:rsidRDefault="00000000">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30267" w14:paraId="6BF712F1" w14:textId="77777777">
        <w:trPr>
          <w:jc w:val="center"/>
        </w:trPr>
        <w:tc>
          <w:tcPr>
            <w:tcW w:w="5000" w:type="pct"/>
            <w:tcBorders>
              <w:top w:val="nil"/>
              <w:left w:val="nil"/>
              <w:bottom w:val="nil"/>
              <w:right w:val="nil"/>
            </w:tcBorders>
            <w:tcMar>
              <w:top w:w="0" w:type="dxa"/>
              <w:left w:w="0" w:type="dxa"/>
              <w:bottom w:w="0" w:type="dxa"/>
              <w:right w:w="227" w:type="dxa"/>
            </w:tcMar>
          </w:tcPr>
          <w:p w14:paraId="4958BA7C" w14:textId="77777777" w:rsidR="00E30267" w:rsidRDefault="00000000">
            <w:pPr>
              <w:rPr>
                <w:sz w:val="18"/>
                <w:szCs w:val="18"/>
              </w:rPr>
            </w:pPr>
            <w:r>
              <w:rPr>
                <w:noProof/>
                <w:sz w:val="18"/>
                <w:szCs w:val="18"/>
              </w:rPr>
              <w:drawing>
                <wp:inline distT="0" distB="0" distL="0" distR="0" wp14:anchorId="0C049C06" wp14:editId="27E24DD3">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09E96F9" w14:textId="77777777" w:rsidR="00E30267"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E30267" w14:paraId="2016B03F" w14:textId="77777777">
        <w:tc>
          <w:tcPr>
            <w:tcW w:w="3800" w:type="pct"/>
            <w:tcBorders>
              <w:top w:val="nil"/>
              <w:left w:val="nil"/>
              <w:bottom w:val="nil"/>
              <w:right w:val="nil"/>
            </w:tcBorders>
            <w:tcMar>
              <w:top w:w="0" w:type="dxa"/>
              <w:left w:w="0" w:type="dxa"/>
              <w:bottom w:w="0" w:type="dxa"/>
              <w:right w:w="227" w:type="dxa"/>
            </w:tcMar>
          </w:tcPr>
          <w:p w14:paraId="5F1285D4" w14:textId="48B50DA7" w:rsidR="00E30267" w:rsidRPr="000C455C" w:rsidRDefault="00000000">
            <w:pPr>
              <w:spacing w:after="240"/>
              <w:rPr>
                <w:i/>
                <w:sz w:val="20"/>
                <w:szCs w:val="20"/>
              </w:rPr>
            </w:pPr>
            <w:r>
              <w:rPr>
                <w:i/>
                <w:sz w:val="20"/>
                <w:szCs w:val="20"/>
              </w:rPr>
              <w:t xml:space="preserve">Mit einem neuartigen </w:t>
            </w:r>
            <w:r w:rsidR="003560CA">
              <w:rPr>
                <w:i/>
                <w:sz w:val="20"/>
                <w:szCs w:val="20"/>
              </w:rPr>
              <w:t>WC-Element</w:t>
            </w:r>
            <w:r>
              <w:rPr>
                <w:i/>
                <w:sz w:val="20"/>
                <w:szCs w:val="20"/>
              </w:rPr>
              <w:t xml:space="preserve"> erweitert TOTO sein Portfolio um eine </w:t>
            </w:r>
            <w:r w:rsidR="000C455C">
              <w:rPr>
                <w:i/>
                <w:sz w:val="20"/>
                <w:szCs w:val="20"/>
              </w:rPr>
              <w:br/>
            </w:r>
            <w:r>
              <w:rPr>
                <w:i/>
                <w:sz w:val="20"/>
                <w:szCs w:val="20"/>
              </w:rPr>
              <w:t xml:space="preserve">besonders flexible Lösung für moderne Badkonzepte. Der japanische Sanitärexperte bringt einen Installationsrahmen auf den Markt, der auf unterschiedliche Ausstattungsstufen im Bad ausgelegt ist: WC, WASHLET </w:t>
            </w:r>
            <w:r w:rsidR="000C455C">
              <w:rPr>
                <w:i/>
                <w:sz w:val="20"/>
                <w:szCs w:val="20"/>
              </w:rPr>
              <w:br/>
            </w:r>
            <w:r>
              <w:rPr>
                <w:i/>
                <w:sz w:val="20"/>
                <w:szCs w:val="20"/>
              </w:rPr>
              <w:t>und WASHLET mit automatischer Spülung.  </w:t>
            </w:r>
          </w:p>
          <w:p w14:paraId="64A4F8C5" w14:textId="77777777" w:rsidR="00E30267" w:rsidRDefault="00000000">
            <w:pPr>
              <w:spacing w:after="240"/>
              <w:rPr>
                <w:sz w:val="20"/>
                <w:szCs w:val="20"/>
              </w:rPr>
            </w:pPr>
            <w:r>
              <w:rPr>
                <w:b/>
                <w:sz w:val="20"/>
                <w:szCs w:val="20"/>
              </w:rPr>
              <w:t>Motor als Zusatzelement</w:t>
            </w:r>
          </w:p>
          <w:p w14:paraId="27E8924E" w14:textId="534E83AA" w:rsidR="00E30267" w:rsidRDefault="00000000">
            <w:pPr>
              <w:spacing w:after="240"/>
              <w:rPr>
                <w:sz w:val="20"/>
                <w:szCs w:val="20"/>
              </w:rPr>
            </w:pPr>
            <w:r>
              <w:rPr>
                <w:sz w:val="20"/>
                <w:szCs w:val="20"/>
              </w:rPr>
              <w:t>Ein zentrales Merkmal: Viele WASHLET Modelle sind mit einer selbstauslösenden Spülung (Auto Flush) ausgestattet. Für diese Funktion wird ein Motor im WC-Element benötigt. Gleichzeitig kommen zahlreiche WASHLET Modelle und alle WCs ohne Motor aus. TOTO hat darauf mit einem durchdachten Konzept reagiert: Der Motor kann als optionales Zusatzelement eingebaut werden – je nach gewähltem Modell.</w:t>
            </w:r>
          </w:p>
          <w:p w14:paraId="20419407" w14:textId="648D9DB0" w:rsidR="00E30267" w:rsidRDefault="00000000">
            <w:pPr>
              <w:spacing w:after="240"/>
              <w:rPr>
                <w:sz w:val="20"/>
                <w:szCs w:val="20"/>
              </w:rPr>
            </w:pPr>
            <w:r>
              <w:rPr>
                <w:sz w:val="20"/>
                <w:szCs w:val="20"/>
              </w:rPr>
              <w:t>Dieses modulare System bietet maximale Flexibilität. Der Spülrahmen ist sowohl mit als auch ohne Motor erhältlich und kann jederzeit nachgerüstet werden. So lässt sich ein bestehendes WC jederzeit zu einem WASHLET nachrüsten, je nach Wunsch mit oder ohne automatischer Spülfunktion.</w:t>
            </w:r>
          </w:p>
          <w:p w14:paraId="0ED89448" w14:textId="77777777" w:rsidR="00E30267" w:rsidRDefault="00000000">
            <w:pPr>
              <w:spacing w:after="240"/>
              <w:rPr>
                <w:sz w:val="20"/>
                <w:szCs w:val="20"/>
              </w:rPr>
            </w:pPr>
            <w:r>
              <w:rPr>
                <w:b/>
                <w:sz w:val="20"/>
                <w:szCs w:val="20"/>
              </w:rPr>
              <w:t>Upgrade ist jederzeit möglich</w:t>
            </w:r>
          </w:p>
          <w:p w14:paraId="25BD496D" w14:textId="77777777" w:rsidR="00E30267" w:rsidRDefault="00000000">
            <w:pPr>
              <w:spacing w:after="240"/>
              <w:rPr>
                <w:sz w:val="20"/>
                <w:szCs w:val="20"/>
              </w:rPr>
            </w:pPr>
            <w:r>
              <w:rPr>
                <w:sz w:val="20"/>
                <w:szCs w:val="20"/>
              </w:rPr>
              <w:t xml:space="preserve">Besonders komfortabel: Das Upgrade ist jederzeit innerhalb weniger Minuten durchführbar und kommt ganz ohne Demontage der Keramik aus. Der Installateur tauscht einfach den WC-Sitz gegen einen WASHLET-Aufsatz aus. Wird zusätzlich eine Auto Flush-Funktion gewünscht, kann die Motoreinheit unkompliziert eingesetzt werden. Der Vorteil: WASHLET mit Auto Flush-Funktion </w:t>
            </w:r>
            <w:r>
              <w:rPr>
                <w:sz w:val="20"/>
                <w:szCs w:val="20"/>
              </w:rPr>
              <w:lastRenderedPageBreak/>
              <w:t>erkennen automatisch die Sitzdauer und lösen berührungslos die passende Spülmenge aus.</w:t>
            </w:r>
          </w:p>
          <w:p w14:paraId="69B6A812" w14:textId="77777777" w:rsidR="00E30267" w:rsidRDefault="00000000">
            <w:pPr>
              <w:spacing w:after="240"/>
              <w:rPr>
                <w:sz w:val="20"/>
                <w:szCs w:val="20"/>
              </w:rPr>
            </w:pPr>
            <w:r>
              <w:rPr>
                <w:sz w:val="20"/>
                <w:szCs w:val="20"/>
              </w:rPr>
              <w:t>Entscheidend beim Umbau: Nur mit dem von TOTO angebotenem Rahmen ist gewährleistet, dass sich ein WC zum WASHLET ohne Abnahme der WC-Keramik nachrüsten lässt. „Unser bis ins Detail durchdachter Rahmen verfügt auch noch über ein entsprechendes Leerrohr für die Stromführung, was die Montage des WASHLET stark vereinfacht“, erläutert Hubertus Brüggemann, Sales Director, TOTO Europe.</w:t>
            </w:r>
          </w:p>
          <w:p w14:paraId="1F5AB3B3" w14:textId="77777777" w:rsidR="00E30267" w:rsidRDefault="00000000">
            <w:pPr>
              <w:spacing w:after="240"/>
              <w:rPr>
                <w:sz w:val="20"/>
                <w:szCs w:val="20"/>
              </w:rPr>
            </w:pPr>
            <w:r>
              <w:rPr>
                <w:sz w:val="20"/>
                <w:szCs w:val="20"/>
              </w:rPr>
              <w:t>„Mit dem neuen Installationsrahmen in Kombination mit unseren speziellen WCs mit WASHLET Option geben wir Kunden ein System an die Hand, das sich an unterschiedliche Anforderungen anpassen lässt. Die Anschaffung eines WASHLET muss nicht sofort entschieden werden, sondern kann jederzeit ohne großen Aufwand nachgeholt werden, so Brüggemann weiter.</w:t>
            </w:r>
          </w:p>
          <w:p w14:paraId="75ACA8D9" w14:textId="77777777" w:rsidR="00E30267" w:rsidRDefault="00000000">
            <w:pPr>
              <w:rPr>
                <w:sz w:val="20"/>
                <w:szCs w:val="20"/>
              </w:rPr>
            </w:pPr>
            <w:r>
              <w:rPr>
                <w:sz w:val="20"/>
                <w:szCs w:val="20"/>
              </w:rPr>
              <w:br/>
              <w:t>Düsseldorf, im April 2026 </w:t>
            </w:r>
            <w:r>
              <w:rPr>
                <w:sz w:val="20"/>
                <w:szCs w:val="20"/>
              </w:rPr>
              <w:br/>
              <w:t>Abdruck honorarfrei / Beleg erbeten</w:t>
            </w:r>
          </w:p>
        </w:tc>
        <w:tc>
          <w:tcPr>
            <w:tcW w:w="1200" w:type="pct"/>
            <w:tcBorders>
              <w:top w:val="nil"/>
              <w:left w:val="nil"/>
              <w:bottom w:val="nil"/>
              <w:right w:val="nil"/>
            </w:tcBorders>
            <w:tcMar>
              <w:top w:w="0" w:type="dxa"/>
              <w:left w:w="0" w:type="dxa"/>
              <w:bottom w:w="0" w:type="dxa"/>
              <w:right w:w="227" w:type="dxa"/>
            </w:tcMar>
          </w:tcPr>
          <w:p w14:paraId="7BD69054" w14:textId="77777777" w:rsidR="00E30267" w:rsidRDefault="00000000">
            <w:pPr>
              <w:spacing w:after="240"/>
              <w:rPr>
                <w:sz w:val="20"/>
                <w:szCs w:val="20"/>
              </w:rPr>
            </w:pPr>
            <w:r>
              <w:rPr>
                <w:b/>
                <w:sz w:val="20"/>
                <w:szCs w:val="20"/>
              </w:rPr>
              <w:lastRenderedPageBreak/>
              <w:t>Ansprechpartnerin für die Presse:</w:t>
            </w:r>
            <w:r>
              <w:rPr>
                <w:b/>
                <w:sz w:val="20"/>
                <w:szCs w:val="20"/>
              </w:rPr>
              <w:br/>
            </w:r>
            <w:r>
              <w:rPr>
                <w:sz w:val="20"/>
                <w:szCs w:val="20"/>
              </w:rPr>
              <w:t>bering*kopal GbR, Büro für Kommunikation</w:t>
            </w:r>
            <w:r>
              <w:rPr>
                <w:sz w:val="20"/>
                <w:szCs w:val="20"/>
              </w:rPr>
              <w:br/>
              <w:t>Heike Bering</w:t>
            </w:r>
            <w:r>
              <w:rPr>
                <w:sz w:val="20"/>
                <w:szCs w:val="20"/>
              </w:rPr>
              <w:br/>
              <w:t>Tel. +49 (0)711 7451 759 15</w:t>
            </w:r>
          </w:p>
          <w:p w14:paraId="716BDE53" w14:textId="77777777" w:rsidR="00E30267" w:rsidRDefault="00000000">
            <w:pPr>
              <w:spacing w:after="240"/>
              <w:rPr>
                <w:sz w:val="20"/>
                <w:szCs w:val="20"/>
              </w:rPr>
            </w:pPr>
            <w:r>
              <w:rPr>
                <w:sz w:val="20"/>
                <w:szCs w:val="20"/>
              </w:rPr>
              <w:t>heike.bering@</w:t>
            </w:r>
            <w:r>
              <w:rPr>
                <w:sz w:val="20"/>
                <w:szCs w:val="20"/>
              </w:rPr>
              <w:br/>
              <w:t>bering-kopal.de</w:t>
            </w:r>
          </w:p>
          <w:p w14:paraId="523D0113" w14:textId="77777777" w:rsidR="00E30267" w:rsidRDefault="00000000">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t>anja.giersiepen@</w:t>
            </w:r>
            <w:r>
              <w:rPr>
                <w:sz w:val="20"/>
                <w:szCs w:val="20"/>
              </w:rPr>
              <w:br/>
              <w:t>toto.com</w:t>
            </w:r>
          </w:p>
          <w:p w14:paraId="095F178A" w14:textId="77777777" w:rsidR="00E30267" w:rsidRDefault="00000000">
            <w:pPr>
              <w:rPr>
                <w:sz w:val="20"/>
                <w:szCs w:val="20"/>
              </w:rPr>
            </w:pPr>
            <w:r>
              <w:rPr>
                <w:sz w:val="20"/>
                <w:szCs w:val="20"/>
              </w:rPr>
              <w:t>TOTO im Internet:</w:t>
            </w:r>
            <w:r>
              <w:rPr>
                <w:sz w:val="20"/>
                <w:szCs w:val="20"/>
              </w:rPr>
              <w:br/>
            </w:r>
            <w:hyperlink r:id="rId7">
              <w:r w:rsidR="00E30267">
                <w:rPr>
                  <w:rStyle w:val="Hyperlink"/>
                  <w:color w:val="000000"/>
                  <w:sz w:val="20"/>
                  <w:szCs w:val="20"/>
                </w:rPr>
                <w:t>eu.toto.com/de</w:t>
              </w:r>
            </w:hyperlink>
          </w:p>
        </w:tc>
      </w:tr>
    </w:tbl>
    <w:p w14:paraId="217433AF" w14:textId="77777777" w:rsidR="00E30267" w:rsidRDefault="00000000">
      <w:r>
        <w:br w:type="page"/>
      </w:r>
    </w:p>
    <w:p w14:paraId="01EF8F67" w14:textId="77777777" w:rsidR="00E30267" w:rsidRDefault="00000000">
      <w:pPr>
        <w:rPr>
          <w:sz w:val="17"/>
          <w:szCs w:val="17"/>
        </w:rPr>
      </w:pPr>
      <w:r>
        <w:rPr>
          <w:b/>
          <w:sz w:val="17"/>
          <w:szCs w:val="17"/>
        </w:rPr>
        <w:lastRenderedPageBreak/>
        <w:t>1</w:t>
      </w:r>
      <w:r>
        <w:rPr>
          <w:sz w:val="17"/>
          <w:szCs w:val="17"/>
        </w:rPr>
        <w:t xml:space="preserve"> Der japanische Sanitärexperte TOTO bringt einen Installationsrahmen auf den Markt, der auf unterschiedliche Ausstattungsstufen im Bad ausgelegt ist. Kern des Konzepts ist die Trennung von Spülrahmen und Motoreinheit für die automatische Spülung (Auto Flush). Foto: TOTO</w:t>
      </w:r>
      <w:r>
        <w:rPr>
          <w:sz w:val="17"/>
          <w:szCs w:val="17"/>
        </w:rPr>
        <w:br/>
      </w:r>
    </w:p>
    <w:p w14:paraId="5E5D1930" w14:textId="77777777" w:rsidR="00E30267" w:rsidRDefault="00000000">
      <w:pPr>
        <w:rPr>
          <w:sz w:val="17"/>
          <w:szCs w:val="17"/>
        </w:rPr>
      </w:pPr>
      <w:r>
        <w:rPr>
          <w:b/>
          <w:sz w:val="17"/>
          <w:szCs w:val="17"/>
        </w:rPr>
        <w:t>2</w:t>
      </w:r>
      <w:r>
        <w:rPr>
          <w:sz w:val="17"/>
          <w:szCs w:val="17"/>
        </w:rPr>
        <w:t xml:space="preserve"> Der neue modulare Installationsrahmen von TOTO bietet maximale Flexibilität, was Komfortfunktionen betrifft. Der Spülrahmen ist sowohl mit als auch ohne Motor erhältlich und kann jederzeit nachgerüstet werden. Diese Option wird benötigt, wenn auf ein WASHLET mit automatischer Spülung aufgerüstet werden soll. Foto: TOTO </w:t>
      </w:r>
      <w:r>
        <w:rPr>
          <w:sz w:val="17"/>
          <w:szCs w:val="17"/>
        </w:rPr>
        <w:br/>
      </w:r>
    </w:p>
    <w:p w14:paraId="349C3E2D" w14:textId="5F9D2DA5" w:rsidR="00E30267" w:rsidRDefault="00000000">
      <w:pPr>
        <w:rPr>
          <w:sz w:val="17"/>
          <w:szCs w:val="17"/>
        </w:rPr>
      </w:pPr>
      <w:r>
        <w:rPr>
          <w:b/>
          <w:sz w:val="17"/>
          <w:szCs w:val="17"/>
        </w:rPr>
        <w:t>3</w:t>
      </w:r>
      <w:r>
        <w:rPr>
          <w:sz w:val="17"/>
          <w:szCs w:val="17"/>
        </w:rPr>
        <w:t xml:space="preserve"> Upgrades für mehr Komfort im Badezimmer zählen zur Kernkompetenz von TOTO. So hat das japanische Unternehmen bereits in 2025 einige WC-Modelle mit Installationsöffnungen und Abdeckelementen (FlexCover) </w:t>
      </w:r>
      <w:r w:rsidR="00D75088">
        <w:rPr>
          <w:sz w:val="17"/>
          <w:szCs w:val="17"/>
        </w:rPr>
        <w:t>auf den Markt gebracht</w:t>
      </w:r>
      <w:r>
        <w:rPr>
          <w:sz w:val="17"/>
          <w:szCs w:val="17"/>
        </w:rPr>
        <w:t>, um das Upgrade auf ein WASHLET optimal vorzubereiten. Zusammen mit dem neuen Spülrahmen von TOTO lässt sich nun auch die Option auf ein WASHLET mit automatischer Spülfunktion (Auto Flush) für später einplanen.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30267" w14:paraId="025B1425" w14:textId="77777777">
        <w:tc>
          <w:tcPr>
            <w:tcW w:w="2444" w:type="pct"/>
            <w:tcBorders>
              <w:top w:val="nil"/>
              <w:left w:val="nil"/>
              <w:bottom w:val="nil"/>
              <w:right w:val="nil"/>
            </w:tcBorders>
            <w:tcMar>
              <w:top w:w="0" w:type="dxa"/>
              <w:left w:w="0" w:type="dxa"/>
              <w:bottom w:w="0" w:type="dxa"/>
              <w:right w:w="0" w:type="dxa"/>
            </w:tcMar>
          </w:tcPr>
          <w:p w14:paraId="690A18DD" w14:textId="77777777" w:rsidR="00E30267" w:rsidRDefault="00000000">
            <w:pPr>
              <w:keepNext/>
              <w:keepLines/>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4368D24B" w14:textId="77777777" w:rsidR="00E30267" w:rsidRDefault="00E30267">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14:paraId="27585253" w14:textId="77777777" w:rsidR="00E30267" w:rsidRDefault="00000000">
            <w:pPr>
              <w:keepNext/>
              <w:keepLines/>
              <w:rPr>
                <w:sz w:val="14"/>
                <w:szCs w:val="14"/>
              </w:rPr>
            </w:pPr>
            <w:r>
              <w:rPr>
                <w:sz w:val="14"/>
                <w:szCs w:val="14"/>
              </w:rPr>
              <w:t>2.</w:t>
            </w:r>
          </w:p>
        </w:tc>
      </w:tr>
      <w:tr w:rsidR="00E30267" w14:paraId="112EFA1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B2088AF" w14:textId="77777777" w:rsidR="00E30267" w:rsidRDefault="00000000">
            <w:pPr>
              <w:keepNext/>
              <w:keepLines/>
              <w:rPr>
                <w:sz w:val="14"/>
                <w:szCs w:val="14"/>
              </w:rPr>
            </w:pPr>
            <w:r>
              <w:rPr>
                <w:noProof/>
                <w:sz w:val="14"/>
                <w:szCs w:val="14"/>
              </w:rPr>
              <w:drawing>
                <wp:inline distT="0" distB="0" distL="0" distR="0" wp14:anchorId="2FD0619C" wp14:editId="683D5BDC">
                  <wp:extent cx="25908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5908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A289917" w14:textId="77777777" w:rsidR="00E30267" w:rsidRDefault="00E30267">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285C6F8" w14:textId="77777777" w:rsidR="00E30267" w:rsidRDefault="00000000">
            <w:pPr>
              <w:keepNext/>
              <w:keepLines/>
              <w:rPr>
                <w:sz w:val="14"/>
                <w:szCs w:val="14"/>
              </w:rPr>
            </w:pPr>
            <w:r>
              <w:rPr>
                <w:noProof/>
                <w:sz w:val="14"/>
                <w:szCs w:val="14"/>
              </w:rPr>
              <w:drawing>
                <wp:inline distT="0" distB="0" distL="0" distR="0" wp14:anchorId="14F9FDFC" wp14:editId="55917813">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014220" cy="2014220"/>
                          </a:xfrm>
                          <a:prstGeom prst="rect">
                            <a:avLst/>
                          </a:prstGeom>
                        </pic:spPr>
                      </pic:pic>
                    </a:graphicData>
                  </a:graphic>
                </wp:inline>
              </w:drawing>
            </w:r>
          </w:p>
        </w:tc>
      </w:tr>
      <w:tr w:rsidR="00E30267" w14:paraId="7ADAAF09" w14:textId="77777777">
        <w:tc>
          <w:tcPr>
            <w:tcW w:w="2444" w:type="pct"/>
            <w:tcBorders>
              <w:top w:val="nil"/>
              <w:left w:val="nil"/>
              <w:bottom w:val="nil"/>
              <w:right w:val="nil"/>
            </w:tcBorders>
            <w:tcMar>
              <w:top w:w="0" w:type="dxa"/>
              <w:left w:w="0" w:type="dxa"/>
              <w:bottom w:w="0" w:type="dxa"/>
              <w:right w:w="0" w:type="dxa"/>
            </w:tcMar>
          </w:tcPr>
          <w:p w14:paraId="523D8166" w14:textId="77777777" w:rsidR="00E30267" w:rsidRDefault="00E30267">
            <w:pPr>
              <w:keepNext/>
              <w:keepLines/>
              <w:rPr>
                <w:sz w:val="14"/>
                <w:szCs w:val="14"/>
              </w:rPr>
            </w:pPr>
          </w:p>
        </w:tc>
        <w:tc>
          <w:tcPr>
            <w:tcW w:w="112" w:type="pct"/>
            <w:tcBorders>
              <w:top w:val="nil"/>
              <w:left w:val="nil"/>
              <w:bottom w:val="nil"/>
              <w:right w:val="nil"/>
            </w:tcBorders>
            <w:tcMar>
              <w:top w:w="0" w:type="dxa"/>
              <w:left w:w="0" w:type="dxa"/>
              <w:bottom w:w="0" w:type="dxa"/>
              <w:right w:w="0" w:type="dxa"/>
            </w:tcMar>
          </w:tcPr>
          <w:p w14:paraId="1C9A0A9C" w14:textId="77777777" w:rsidR="00E30267" w:rsidRDefault="00E30267">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14:paraId="5C95D35E" w14:textId="77777777" w:rsidR="00E30267" w:rsidRDefault="00E30267">
            <w:pPr>
              <w:keepNext/>
              <w:keepLines/>
              <w:rPr>
                <w:sz w:val="14"/>
                <w:szCs w:val="14"/>
              </w:rPr>
            </w:pPr>
          </w:p>
        </w:tc>
      </w:tr>
      <w:tr w:rsidR="00E30267" w14:paraId="339DD597" w14:textId="77777777">
        <w:tc>
          <w:tcPr>
            <w:tcW w:w="2444" w:type="pct"/>
            <w:tcBorders>
              <w:top w:val="nil"/>
              <w:left w:val="nil"/>
              <w:bottom w:val="nil"/>
              <w:right w:val="nil"/>
            </w:tcBorders>
            <w:tcMar>
              <w:top w:w="0" w:type="dxa"/>
              <w:left w:w="0" w:type="dxa"/>
              <w:bottom w:w="0" w:type="dxa"/>
              <w:right w:w="0" w:type="dxa"/>
            </w:tcMar>
          </w:tcPr>
          <w:p w14:paraId="3279F012" w14:textId="77777777" w:rsidR="00E30267" w:rsidRDefault="00000000">
            <w:pPr>
              <w:keepNext/>
              <w:keepLines/>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0AFBA980" w14:textId="77777777" w:rsidR="00E30267" w:rsidRDefault="00E30267">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14:paraId="73A2477F" w14:textId="77777777" w:rsidR="00E30267" w:rsidRDefault="00E30267">
            <w:pPr>
              <w:keepNext/>
              <w:keepLines/>
              <w:rPr>
                <w:sz w:val="14"/>
                <w:szCs w:val="14"/>
              </w:rPr>
            </w:pPr>
          </w:p>
        </w:tc>
      </w:tr>
      <w:tr w:rsidR="00E30267" w14:paraId="4CBB66F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917BE79" w14:textId="77777777" w:rsidR="00E30267" w:rsidRDefault="00000000">
            <w:pPr>
              <w:keepNext/>
              <w:keepLines/>
              <w:rPr>
                <w:sz w:val="14"/>
                <w:szCs w:val="14"/>
              </w:rPr>
            </w:pPr>
            <w:r>
              <w:rPr>
                <w:noProof/>
                <w:sz w:val="14"/>
                <w:szCs w:val="14"/>
              </w:rPr>
              <w:drawing>
                <wp:inline distT="0" distB="0" distL="0" distR="0" wp14:anchorId="48B84E56" wp14:editId="61A2267C">
                  <wp:extent cx="107251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07251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EF2FFC6" w14:textId="77777777" w:rsidR="00E30267" w:rsidRDefault="00E30267">
            <w:pPr>
              <w:keepNext/>
              <w:keepLines/>
              <w:rPr>
                <w:sz w:val="17"/>
                <w:szCs w:val="17"/>
              </w:rPr>
            </w:pPr>
          </w:p>
        </w:tc>
        <w:tc>
          <w:tcPr>
            <w:tcW w:w="2444" w:type="pct"/>
            <w:tcBorders>
              <w:top w:val="nil"/>
              <w:left w:val="nil"/>
              <w:bottom w:val="nil"/>
              <w:right w:val="nil"/>
            </w:tcBorders>
            <w:tcMar>
              <w:top w:w="0" w:type="dxa"/>
              <w:left w:w="0" w:type="dxa"/>
              <w:bottom w:w="0" w:type="dxa"/>
              <w:right w:w="0" w:type="dxa"/>
            </w:tcMar>
          </w:tcPr>
          <w:p w14:paraId="3B4B2446" w14:textId="77777777" w:rsidR="00E30267" w:rsidRDefault="00E30267">
            <w:pPr>
              <w:keepNext/>
              <w:keepLines/>
              <w:rPr>
                <w:sz w:val="17"/>
                <w:szCs w:val="17"/>
              </w:rPr>
            </w:pPr>
          </w:p>
        </w:tc>
      </w:tr>
    </w:tbl>
    <w:p w14:paraId="4C6B2F1C" w14:textId="77777777" w:rsidR="00E30267"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E30267" w14:paraId="4082C92E" w14:textId="77777777">
        <w:tc>
          <w:tcPr>
            <w:tcW w:w="3800" w:type="pct"/>
            <w:gridSpan w:val="2"/>
            <w:tcBorders>
              <w:top w:val="nil"/>
              <w:left w:val="nil"/>
              <w:bottom w:val="nil"/>
              <w:right w:val="nil"/>
            </w:tcBorders>
            <w:tcMar>
              <w:top w:w="0" w:type="dxa"/>
              <w:left w:w="0" w:type="dxa"/>
              <w:bottom w:w="0" w:type="dxa"/>
              <w:right w:w="227" w:type="dxa"/>
            </w:tcMar>
          </w:tcPr>
          <w:p w14:paraId="46FB2348" w14:textId="77777777" w:rsidR="00E30267" w:rsidRDefault="00000000">
            <w:pPr>
              <w:spacing w:before="240" w:after="240"/>
              <w:rPr>
                <w:sz w:val="20"/>
                <w:szCs w:val="20"/>
              </w:rPr>
            </w:pPr>
            <w:r>
              <w:rPr>
                <w:b/>
                <w:sz w:val="20"/>
                <w:szCs w:val="20"/>
              </w:rPr>
              <w:lastRenderedPageBreak/>
              <w:t>Über TOTO Europe</w:t>
            </w:r>
          </w:p>
          <w:p w14:paraId="2B856064" w14:textId="77777777" w:rsidR="00E30267" w:rsidRDefault="00000000">
            <w:pPr>
              <w:spacing w:before="240" w:after="240"/>
              <w:rPr>
                <w:sz w:val="20"/>
                <w:szCs w:val="20"/>
              </w:rPr>
            </w:pPr>
            <w:r>
              <w:rPr>
                <w:sz w:val="20"/>
                <w:szCs w:val="20"/>
              </w:rPr>
              <w:t xml:space="preserve">TOTO steht für Badkultur auf höchstem Niveau. Design, Komfort und Hygiene greifen so präzise ineinander, dass die raffiniert integrierte Technik fast unsichtbar wird. Als Japans führender Komplettbadanbieter entwickelt TOTO ganzheitliche Lösungen für anspruchsvolle private und öffentliche Räume und ist seit 2009 auch erfolgreich in Europa präsent. TOTO prägt die Badgestaltung mit innovativer Sanitärkeramik, Armaturen und vor allem dem WASHLET, von dem bereits über 70 Millionen weltweit verkauft wurden. Das japanische Designverständnis von TOTO stellt den Menschen und seine Bedürfnisse in den Mittelpunkt. So entstehen Produkte, die vom Respekt für das Gegenüber geprägt sind – zurückhaltend im Design, selbstverständlich in der Nutzung. Diesen Respekt erweist TOTO auch der Umwelt. Mit wassersparenden Technologien trägt TOTO aktiv zur Ressourcenschonung bei und verfolgt seine Nachhaltigkeitsstrategie im Rahmen international anerkannter Initiativen wie der </w:t>
            </w:r>
            <w:hyperlink r:id="rId11">
              <w:r w:rsidR="00E30267">
                <w:rPr>
                  <w:rStyle w:val="Hyperlink"/>
                  <w:color w:val="000000"/>
                  <w:sz w:val="20"/>
                  <w:szCs w:val="20"/>
                </w:rPr>
                <w:t>Climate Group RE100</w:t>
              </w:r>
            </w:hyperlink>
            <w:r>
              <w:rPr>
                <w:sz w:val="20"/>
                <w:szCs w:val="20"/>
              </w:rPr>
              <w:t xml:space="preserve"> und der </w:t>
            </w:r>
            <w:hyperlink r:id="rId12">
              <w:r w:rsidR="00E30267">
                <w:rPr>
                  <w:rStyle w:val="Hyperlink"/>
                  <w:color w:val="000000"/>
                  <w:sz w:val="20"/>
                  <w:szCs w:val="20"/>
                </w:rPr>
                <w:t>Science Based Targets Initiative</w:t>
              </w:r>
            </w:hyperlink>
            <w:r>
              <w:rPr>
                <w:sz w:val="20"/>
                <w:szCs w:val="20"/>
              </w:rPr>
              <w:t>.</w:t>
            </w:r>
          </w:p>
          <w:p w14:paraId="36CFB0FF" w14:textId="77777777" w:rsidR="00E30267" w:rsidRDefault="00000000">
            <w:pPr>
              <w:rPr>
                <w:sz w:val="20"/>
                <w:szCs w:val="20"/>
              </w:rPr>
            </w:pPr>
            <w:r>
              <w:rPr>
                <w:sz w:val="20"/>
                <w:szCs w:val="20"/>
              </w:rPr>
              <w:br/>
            </w:r>
          </w:p>
        </w:tc>
        <w:tc>
          <w:tcPr>
            <w:tcW w:w="1200" w:type="pct"/>
            <w:tcBorders>
              <w:top w:val="nil"/>
              <w:left w:val="nil"/>
              <w:bottom w:val="nil"/>
              <w:right w:val="nil"/>
            </w:tcBorders>
            <w:tcMar>
              <w:top w:w="0" w:type="dxa"/>
              <w:left w:w="0" w:type="dxa"/>
              <w:bottom w:w="0" w:type="dxa"/>
              <w:right w:w="227" w:type="dxa"/>
            </w:tcMar>
          </w:tcPr>
          <w:p w14:paraId="58C60A37" w14:textId="77777777" w:rsidR="00E30267" w:rsidRDefault="00000000">
            <w:pPr>
              <w:rPr>
                <w:sz w:val="20"/>
                <w:szCs w:val="20"/>
              </w:rPr>
            </w:pPr>
            <w:r>
              <w:rPr>
                <w:sz w:val="20"/>
                <w:szCs w:val="20"/>
              </w:rPr>
              <w:br/>
            </w:r>
          </w:p>
        </w:tc>
      </w:tr>
      <w:tr w:rsidR="00E30267" w14:paraId="5E19266B" w14:textId="77777777">
        <w:trPr>
          <w:gridAfter w:val="1"/>
          <w:wAfter w:w="1728" w:type="dxa"/>
        </w:trPr>
        <w:tc>
          <w:tcPr>
            <w:tcW w:w="2736" w:type="dxa"/>
            <w:tcBorders>
              <w:top w:val="nil"/>
              <w:left w:val="nil"/>
              <w:bottom w:val="nil"/>
              <w:right w:val="nil"/>
            </w:tcBorders>
            <w:tcMar>
              <w:top w:w="0" w:type="dxa"/>
              <w:left w:w="0" w:type="dxa"/>
              <w:bottom w:w="0" w:type="dxa"/>
              <w:right w:w="227" w:type="dxa"/>
            </w:tcMar>
          </w:tcPr>
          <w:p w14:paraId="746CC472" w14:textId="77777777" w:rsidR="00E30267" w:rsidRDefault="00E30267">
            <w:pPr>
              <w:rPr>
                <w:sz w:val="20"/>
                <w:szCs w:val="20"/>
              </w:rPr>
            </w:pPr>
          </w:p>
        </w:tc>
        <w:tc>
          <w:tcPr>
            <w:tcW w:w="2736" w:type="dxa"/>
            <w:tcBorders>
              <w:top w:val="nil"/>
              <w:left w:val="nil"/>
              <w:bottom w:val="nil"/>
              <w:right w:val="nil"/>
            </w:tcBorders>
            <w:tcMar>
              <w:top w:w="0" w:type="dxa"/>
              <w:left w:w="0" w:type="dxa"/>
              <w:bottom w:w="0" w:type="dxa"/>
              <w:right w:w="227" w:type="dxa"/>
            </w:tcMar>
          </w:tcPr>
          <w:p w14:paraId="0BB94859" w14:textId="77777777" w:rsidR="00E30267" w:rsidRDefault="00E30267">
            <w:pPr>
              <w:rPr>
                <w:sz w:val="20"/>
                <w:szCs w:val="20"/>
              </w:rPr>
            </w:pPr>
          </w:p>
        </w:tc>
      </w:tr>
    </w:tbl>
    <w:p w14:paraId="05E3B788" w14:textId="77777777" w:rsidR="00E30267" w:rsidRDefault="00E30267"/>
    <w:sectPr w:rsidR="00E30267">
      <w:headerReference w:type="default" r:id="rId13"/>
      <w:footerReference w:type="default" r:id="rId14"/>
      <w:headerReference w:type="first" r:id="rId15"/>
      <w:footerReference w:type="first" r:id="rId16"/>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1BAF7" w14:textId="77777777" w:rsidR="00900E29" w:rsidRDefault="00900E29">
      <w:pPr>
        <w:spacing w:line="240" w:lineRule="auto"/>
      </w:pPr>
      <w:r>
        <w:separator/>
      </w:r>
    </w:p>
  </w:endnote>
  <w:endnote w:type="continuationSeparator" w:id="0">
    <w:p w14:paraId="51FF60DE" w14:textId="77777777" w:rsidR="00900E29" w:rsidRDefault="00900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E30267" w14:paraId="4F8A8FA5"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E30267" w14:paraId="6D5A0A6E" w14:textId="77777777">
            <w:trPr>
              <w:tblCellSpacing w:w="0" w:type="dxa"/>
            </w:trPr>
            <w:tc>
              <w:tcPr>
                <w:tcW w:w="15" w:type="dxa"/>
                <w:tcBorders>
                  <w:left w:val="single" w:sz="6" w:space="0" w:color="000000"/>
                </w:tcBorders>
                <w:shd w:val="clear" w:color="auto" w:fill="FFFFFF"/>
                <w:vAlign w:val="center"/>
                <w:hideMark/>
              </w:tcPr>
              <w:p w14:paraId="1E7B1A51"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3AD6752" w14:textId="77777777" w:rsidR="00E30267" w:rsidRDefault="00000000">
                <w:pPr>
                  <w:rPr>
                    <w:sz w:val="10"/>
                    <w:szCs w:val="10"/>
                  </w:rPr>
                </w:pPr>
                <w:r>
                  <w:rPr>
                    <w:sz w:val="10"/>
                    <w:szCs w:val="10"/>
                  </w:rPr>
                  <w:t> </w:t>
                </w:r>
              </w:p>
            </w:tc>
            <w:tc>
              <w:tcPr>
                <w:tcW w:w="850" w:type="pct"/>
                <w:vAlign w:val="center"/>
                <w:hideMark/>
              </w:tcPr>
              <w:p w14:paraId="5E61A315" w14:textId="77777777" w:rsidR="00E30267"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62BA44DA"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EF05270" w14:textId="77777777" w:rsidR="00E30267" w:rsidRDefault="00000000">
                <w:pPr>
                  <w:rPr>
                    <w:sz w:val="10"/>
                    <w:szCs w:val="10"/>
                  </w:rPr>
                </w:pPr>
                <w:r>
                  <w:rPr>
                    <w:sz w:val="10"/>
                    <w:szCs w:val="10"/>
                  </w:rPr>
                  <w:t> </w:t>
                </w:r>
              </w:p>
            </w:tc>
            <w:tc>
              <w:tcPr>
                <w:tcW w:w="850" w:type="pct"/>
                <w:vAlign w:val="center"/>
                <w:hideMark/>
              </w:tcPr>
              <w:p w14:paraId="0497541B" w14:textId="77777777" w:rsidR="00E30267"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3C8232E0"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9E69583" w14:textId="77777777" w:rsidR="00E30267" w:rsidRDefault="00000000">
                <w:pPr>
                  <w:rPr>
                    <w:sz w:val="10"/>
                    <w:szCs w:val="10"/>
                  </w:rPr>
                </w:pPr>
                <w:r>
                  <w:rPr>
                    <w:sz w:val="10"/>
                    <w:szCs w:val="10"/>
                  </w:rPr>
                  <w:t> </w:t>
                </w:r>
              </w:p>
            </w:tc>
            <w:tc>
              <w:tcPr>
                <w:tcW w:w="1150" w:type="pct"/>
                <w:vAlign w:val="center"/>
                <w:hideMark/>
              </w:tcPr>
              <w:p w14:paraId="4E02B022" w14:textId="77777777" w:rsidR="00E30267" w:rsidRDefault="00000000">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582BF79E"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9C75E7D" w14:textId="77777777" w:rsidR="00E30267" w:rsidRDefault="00000000">
                <w:pPr>
                  <w:rPr>
                    <w:sz w:val="10"/>
                    <w:szCs w:val="10"/>
                  </w:rPr>
                </w:pPr>
                <w:r>
                  <w:rPr>
                    <w:sz w:val="10"/>
                    <w:szCs w:val="10"/>
                  </w:rPr>
                  <w:t> </w:t>
                </w:r>
              </w:p>
            </w:tc>
            <w:tc>
              <w:tcPr>
                <w:tcW w:w="1050" w:type="pct"/>
                <w:vAlign w:val="center"/>
                <w:hideMark/>
              </w:tcPr>
              <w:p w14:paraId="60809F13" w14:textId="77777777" w:rsidR="00E30267" w:rsidRDefault="00000000">
                <w:pPr>
                  <w:rPr>
                    <w:sz w:val="10"/>
                    <w:szCs w:val="10"/>
                  </w:rPr>
                </w:pPr>
                <w:r>
                  <w:rPr>
                    <w:sz w:val="10"/>
                    <w:szCs w:val="10"/>
                  </w:rPr>
                  <w:t>AG Düsseldorf . HRB 24827</w:t>
                </w:r>
                <w:r>
                  <w:rPr>
                    <w:sz w:val="10"/>
                    <w:szCs w:val="10"/>
                  </w:rPr>
                  <w:br/>
                  <w:t>Geschäftsführer:</w:t>
                </w:r>
                <w:r>
                  <w:rPr>
                    <w:sz w:val="10"/>
                    <w:szCs w:val="10"/>
                  </w:rPr>
                  <w:br/>
                  <w:t>Tatsuhiko Yasaka</w:t>
                </w:r>
                <w:r>
                  <w:rPr>
                    <w:sz w:val="10"/>
                    <w:szCs w:val="10"/>
                  </w:rPr>
                  <w:br/>
                  <w:t>  </w:t>
                </w:r>
              </w:p>
            </w:tc>
            <w:tc>
              <w:tcPr>
                <w:tcW w:w="15" w:type="dxa"/>
                <w:tcBorders>
                  <w:left w:val="single" w:sz="6" w:space="0" w:color="000000"/>
                </w:tcBorders>
                <w:shd w:val="clear" w:color="auto" w:fill="FFFFFF"/>
                <w:vAlign w:val="center"/>
                <w:hideMark/>
              </w:tcPr>
              <w:p w14:paraId="4163888C"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27A4B3D" w14:textId="77777777" w:rsidR="00E30267" w:rsidRDefault="00000000">
                <w:pPr>
                  <w:rPr>
                    <w:sz w:val="10"/>
                    <w:szCs w:val="10"/>
                  </w:rPr>
                </w:pPr>
                <w:r>
                  <w:rPr>
                    <w:sz w:val="10"/>
                    <w:szCs w:val="10"/>
                  </w:rPr>
                  <w:t> </w:t>
                </w:r>
              </w:p>
            </w:tc>
            <w:tc>
              <w:tcPr>
                <w:tcW w:w="850" w:type="pct"/>
                <w:vAlign w:val="center"/>
                <w:hideMark/>
              </w:tcPr>
              <w:p w14:paraId="48A5179C" w14:textId="77777777" w:rsidR="00E30267"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00879B36" w14:textId="77777777" w:rsidR="00E30267" w:rsidRDefault="00000000">
                <w:pPr>
                  <w:rPr>
                    <w:sz w:val="10"/>
                    <w:szCs w:val="10"/>
                  </w:rPr>
                </w:pPr>
                <w:r>
                  <w:rPr>
                    <w:sz w:val="10"/>
                    <w:szCs w:val="10"/>
                  </w:rPr>
                  <w:t> </w:t>
                </w:r>
              </w:p>
            </w:tc>
          </w:tr>
        </w:tbl>
        <w:p w14:paraId="324F176C" w14:textId="77777777" w:rsidR="00E30267" w:rsidRDefault="00E30267">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14:paraId="1F425A2F" w14:textId="77777777" w:rsidR="00E30267"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11B58D3A" w14:textId="77777777" w:rsidR="00E30267" w:rsidRDefault="00E3026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30267" w14:paraId="62E93CF6"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E30267" w14:paraId="61ABA4F4" w14:textId="77777777">
            <w:trPr>
              <w:tblCellSpacing w:w="0" w:type="dxa"/>
            </w:trPr>
            <w:tc>
              <w:tcPr>
                <w:tcW w:w="15" w:type="dxa"/>
                <w:tcBorders>
                  <w:left w:val="single" w:sz="6" w:space="0" w:color="000000"/>
                </w:tcBorders>
                <w:shd w:val="clear" w:color="auto" w:fill="FFFFFF"/>
                <w:vAlign w:val="center"/>
                <w:hideMark/>
              </w:tcPr>
              <w:p w14:paraId="55CD0995"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5F58002" w14:textId="77777777" w:rsidR="00E30267" w:rsidRDefault="00000000">
                <w:pPr>
                  <w:rPr>
                    <w:sz w:val="10"/>
                    <w:szCs w:val="10"/>
                  </w:rPr>
                </w:pPr>
                <w:r>
                  <w:rPr>
                    <w:sz w:val="10"/>
                    <w:szCs w:val="10"/>
                  </w:rPr>
                  <w:t> </w:t>
                </w:r>
              </w:p>
            </w:tc>
            <w:tc>
              <w:tcPr>
                <w:tcW w:w="850" w:type="pct"/>
                <w:vAlign w:val="center"/>
                <w:hideMark/>
              </w:tcPr>
              <w:p w14:paraId="263C8F44" w14:textId="77777777" w:rsidR="00E30267"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7C50E291"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610BDBA" w14:textId="77777777" w:rsidR="00E30267" w:rsidRDefault="00000000">
                <w:pPr>
                  <w:rPr>
                    <w:sz w:val="10"/>
                    <w:szCs w:val="10"/>
                  </w:rPr>
                </w:pPr>
                <w:r>
                  <w:rPr>
                    <w:sz w:val="10"/>
                    <w:szCs w:val="10"/>
                  </w:rPr>
                  <w:t> </w:t>
                </w:r>
              </w:p>
            </w:tc>
            <w:tc>
              <w:tcPr>
                <w:tcW w:w="850" w:type="pct"/>
                <w:vAlign w:val="center"/>
                <w:hideMark/>
              </w:tcPr>
              <w:p w14:paraId="0B4B5586" w14:textId="77777777" w:rsidR="00E30267"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641CBE0F"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DB4311F" w14:textId="77777777" w:rsidR="00E30267" w:rsidRDefault="00000000">
                <w:pPr>
                  <w:rPr>
                    <w:sz w:val="10"/>
                    <w:szCs w:val="10"/>
                  </w:rPr>
                </w:pPr>
                <w:r>
                  <w:rPr>
                    <w:sz w:val="10"/>
                    <w:szCs w:val="10"/>
                  </w:rPr>
                  <w:t> </w:t>
                </w:r>
              </w:p>
            </w:tc>
            <w:tc>
              <w:tcPr>
                <w:tcW w:w="1150" w:type="pct"/>
                <w:vAlign w:val="center"/>
                <w:hideMark/>
              </w:tcPr>
              <w:p w14:paraId="44CD4CC6" w14:textId="77777777" w:rsidR="00E30267" w:rsidRDefault="00000000">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130731F5"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614384F" w14:textId="77777777" w:rsidR="00E30267" w:rsidRDefault="00000000">
                <w:pPr>
                  <w:rPr>
                    <w:sz w:val="10"/>
                    <w:szCs w:val="10"/>
                  </w:rPr>
                </w:pPr>
                <w:r>
                  <w:rPr>
                    <w:sz w:val="10"/>
                    <w:szCs w:val="10"/>
                  </w:rPr>
                  <w:t> </w:t>
                </w:r>
              </w:p>
            </w:tc>
            <w:tc>
              <w:tcPr>
                <w:tcW w:w="1050" w:type="pct"/>
                <w:vAlign w:val="center"/>
                <w:hideMark/>
              </w:tcPr>
              <w:p w14:paraId="20C0D9EF" w14:textId="77777777" w:rsidR="00E30267" w:rsidRDefault="00000000">
                <w:pPr>
                  <w:rPr>
                    <w:sz w:val="10"/>
                    <w:szCs w:val="10"/>
                  </w:rPr>
                </w:pPr>
                <w:r>
                  <w:rPr>
                    <w:sz w:val="10"/>
                    <w:szCs w:val="10"/>
                  </w:rPr>
                  <w:t>AG Düsseldorf . HRB 24827</w:t>
                </w:r>
                <w:r>
                  <w:rPr>
                    <w:sz w:val="10"/>
                    <w:szCs w:val="10"/>
                  </w:rPr>
                  <w:br/>
                  <w:t>Geschäftsführer:</w:t>
                </w:r>
                <w:r>
                  <w:rPr>
                    <w:sz w:val="10"/>
                    <w:szCs w:val="10"/>
                  </w:rPr>
                  <w:br/>
                  <w:t>Tatsuhiko Yasaka</w:t>
                </w:r>
                <w:r>
                  <w:rPr>
                    <w:sz w:val="10"/>
                    <w:szCs w:val="10"/>
                  </w:rPr>
                  <w:br/>
                  <w:t>  </w:t>
                </w:r>
              </w:p>
            </w:tc>
            <w:tc>
              <w:tcPr>
                <w:tcW w:w="15" w:type="dxa"/>
                <w:tcBorders>
                  <w:left w:val="single" w:sz="6" w:space="0" w:color="000000"/>
                </w:tcBorders>
                <w:shd w:val="clear" w:color="auto" w:fill="FFFFFF"/>
                <w:vAlign w:val="center"/>
                <w:hideMark/>
              </w:tcPr>
              <w:p w14:paraId="2175783F" w14:textId="77777777" w:rsidR="00E30267"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292DB3C" w14:textId="77777777" w:rsidR="00E30267" w:rsidRDefault="00000000">
                <w:pPr>
                  <w:rPr>
                    <w:sz w:val="10"/>
                    <w:szCs w:val="10"/>
                  </w:rPr>
                </w:pPr>
                <w:r>
                  <w:rPr>
                    <w:sz w:val="10"/>
                    <w:szCs w:val="10"/>
                  </w:rPr>
                  <w:t> </w:t>
                </w:r>
              </w:p>
            </w:tc>
            <w:tc>
              <w:tcPr>
                <w:tcW w:w="850" w:type="pct"/>
                <w:vAlign w:val="center"/>
                <w:hideMark/>
              </w:tcPr>
              <w:p w14:paraId="46F1582D" w14:textId="77777777" w:rsidR="00E30267"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33D085D9" w14:textId="77777777" w:rsidR="00E30267" w:rsidRDefault="00000000">
                <w:pPr>
                  <w:rPr>
                    <w:sz w:val="10"/>
                    <w:szCs w:val="10"/>
                  </w:rPr>
                </w:pPr>
                <w:r>
                  <w:rPr>
                    <w:sz w:val="10"/>
                    <w:szCs w:val="10"/>
                  </w:rPr>
                  <w:t> </w:t>
                </w:r>
              </w:p>
            </w:tc>
          </w:tr>
        </w:tbl>
        <w:p w14:paraId="10E41DA7" w14:textId="77777777" w:rsidR="00E30267" w:rsidRDefault="00E30267">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14:paraId="1A52508F" w14:textId="77777777" w:rsidR="00E30267" w:rsidRDefault="00E30267">
          <w:pPr>
            <w:rPr>
              <w:sz w:val="10"/>
              <w:szCs w:val="10"/>
            </w:rPr>
          </w:pPr>
        </w:p>
      </w:tc>
    </w:tr>
  </w:tbl>
  <w:p w14:paraId="28D4A05B" w14:textId="77777777" w:rsidR="00E30267" w:rsidRDefault="00E3026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B78A0" w14:textId="77777777" w:rsidR="00900E29" w:rsidRDefault="00900E29">
      <w:pPr>
        <w:spacing w:line="240" w:lineRule="auto"/>
      </w:pPr>
      <w:r>
        <w:separator/>
      </w:r>
    </w:p>
  </w:footnote>
  <w:footnote w:type="continuationSeparator" w:id="0">
    <w:p w14:paraId="196A9878" w14:textId="77777777" w:rsidR="00900E29" w:rsidRDefault="00900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1A0A" w14:textId="77777777" w:rsidR="00E30267" w:rsidRDefault="00000000">
    <w:r>
      <w:rPr>
        <w:noProof/>
      </w:rPr>
      <w:drawing>
        <wp:anchor distT="0" distB="0" distL="114300" distR="114300" simplePos="0" relativeHeight="251659264" behindDoc="0" locked="0" layoutInCell="0" allowOverlap="0" wp14:anchorId="4C7A1283" wp14:editId="02251026">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Presse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9A81" w14:textId="77777777" w:rsidR="00E30267" w:rsidRDefault="00000000">
    <w:pPr>
      <w:rPr>
        <w:color w:val="343434"/>
      </w:rPr>
    </w:pPr>
    <w:r>
      <w:rPr>
        <w:noProof/>
        <w:color w:val="343434"/>
      </w:rPr>
      <w:drawing>
        <wp:anchor distT="0" distB="0" distL="114300" distR="114300" simplePos="0" relativeHeight="251658240" behindDoc="0" locked="0" layoutInCell="0" allowOverlap="0" wp14:anchorId="62E92C23" wp14:editId="264F2C9C">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Presse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267"/>
    <w:rsid w:val="00052D23"/>
    <w:rsid w:val="00093172"/>
    <w:rsid w:val="000C455C"/>
    <w:rsid w:val="002106E5"/>
    <w:rsid w:val="003560CA"/>
    <w:rsid w:val="00574FA5"/>
    <w:rsid w:val="00900E29"/>
    <w:rsid w:val="00A45CAE"/>
    <w:rsid w:val="00D12C8C"/>
    <w:rsid w:val="00D75088"/>
    <w:rsid w:val="00E30267"/>
    <w:rsid w:val="00FC7AD6"/>
  </w:rsids>
  <m:mathPr>
    <m:mathFont m:val="Cambria Math"/>
    <m:brkBin m:val="before"/>
    <m:brkBinSub m:val="--"/>
    <m:smallFrac m:val="0"/>
    <m:dispDef/>
    <m:lMargin m:val="0"/>
    <m:rMargin m:val="0"/>
    <m:defJc m:val="centerGroup"/>
    <m:wrapIndent m:val="0"/>
    <m:intLim m:val="undOvr"/>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7C591"/>
  <w15:docId w15:val="{4DA332FB-1F6E-844F-848D-6A0F00E2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u.toto.com/de" TargetMode="External"/><Relationship Id="rId12" Type="http://schemas.openxmlformats.org/officeDocument/2006/relationships/hyperlink" Target="https://sciencebasedtargets.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there100.org/"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640</Words>
  <Characters>4112</Characters>
  <Application>Microsoft Office Word</Application>
  <DocSecurity>0</DocSecurity>
  <Lines>117</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2026-04-08T07:38:00Z</dcterms:created>
  <dcterms:modified xsi:type="dcterms:W3CDTF">2026-04-08T07:38:00Z</dcterms:modified>
</cp:coreProperties>
</file>