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4D3" w:rsidRDefault="00000000">
      <w:pPr>
        <w:rPr>
          <w:b/>
          <w:bCs/>
          <w:sz w:val="32"/>
          <w:szCs w:val="32"/>
        </w:rPr>
      </w:pPr>
      <w:r>
        <w:rPr>
          <w:b/>
          <w:bCs/>
          <w:sz w:val="32"/>
          <w:szCs w:val="32"/>
        </w:rPr>
        <w:t>Alpine Architektur und japanische Badkultur</w:t>
      </w:r>
    </w:p>
    <w:tbl>
      <w:tblPr>
        <w:tblStyle w:val="TabelleEinfach1"/>
        <w:tblW w:w="5000" w:type="pct"/>
        <w:tblLayout w:type="fixed"/>
        <w:tblCellMar>
          <w:left w:w="0" w:type="dxa"/>
          <w:right w:w="227" w:type="dxa"/>
        </w:tblCellMar>
        <w:tblLook w:val="04A0" w:firstRow="1" w:lastRow="0" w:firstColumn="1" w:lastColumn="0" w:noHBand="0" w:noVBand="1"/>
      </w:tblPr>
      <w:tblGrid>
        <w:gridCol w:w="3792"/>
        <w:gridCol w:w="3792"/>
        <w:gridCol w:w="2395"/>
      </w:tblGrid>
      <w:tr w:rsidR="006B04D3">
        <w:tc>
          <w:tcPr>
            <w:tcW w:w="3800" w:type="pct"/>
            <w:gridSpan w:val="2"/>
            <w:tcBorders>
              <w:top w:val="nil"/>
              <w:left w:val="nil"/>
              <w:bottom w:val="nil"/>
              <w:right w:val="nil"/>
            </w:tcBorders>
            <w:tcMar>
              <w:top w:w="0" w:type="dxa"/>
              <w:left w:w="0" w:type="dxa"/>
              <w:bottom w:w="0" w:type="dxa"/>
              <w:right w:w="227" w:type="dxa"/>
            </w:tcMar>
          </w:tcPr>
          <w:p w:rsidR="006B04D3" w:rsidRDefault="00000000">
            <w:r>
              <w:rPr>
                <w:rFonts w:eastAsia="Arial"/>
              </w:rPr>
              <w:t>WASHLET des japanischen Sanitärunternehmens TOTO zählen zu den gewissen Extras, mit denen das familiengeführte 5-Sterne-Hotel „Das Central“ in Sölden seine Gäste verwöhnt.</w:t>
            </w:r>
          </w:p>
        </w:tc>
        <w:tc>
          <w:tcPr>
            <w:tcW w:w="1200" w:type="pct"/>
            <w:tcBorders>
              <w:top w:val="nil"/>
              <w:left w:val="nil"/>
              <w:bottom w:val="nil"/>
              <w:right w:val="nil"/>
            </w:tcBorders>
            <w:tcMar>
              <w:top w:w="0" w:type="dxa"/>
              <w:left w:w="0" w:type="dxa"/>
              <w:bottom w:w="0" w:type="dxa"/>
              <w:right w:w="227" w:type="dxa"/>
            </w:tcMar>
          </w:tcPr>
          <w:p w:rsidR="006B04D3" w:rsidRDefault="006B04D3"/>
        </w:tc>
      </w:tr>
      <w:tr w:rsidR="006B04D3">
        <w:trPr>
          <w:gridAfter w:val="1"/>
          <w:wAfter w:w="1728" w:type="dxa"/>
        </w:trPr>
        <w:tc>
          <w:tcPr>
            <w:tcW w:w="2736" w:type="dxa"/>
            <w:tcBorders>
              <w:top w:val="nil"/>
              <w:left w:val="nil"/>
              <w:bottom w:val="nil"/>
              <w:right w:val="nil"/>
            </w:tcBorders>
            <w:tcMar>
              <w:top w:w="0" w:type="dxa"/>
              <w:left w:w="0" w:type="dxa"/>
              <w:bottom w:w="0" w:type="dxa"/>
              <w:right w:w="227" w:type="dxa"/>
            </w:tcMar>
          </w:tcPr>
          <w:p w:rsidR="006B04D3" w:rsidRDefault="006B04D3"/>
        </w:tc>
        <w:tc>
          <w:tcPr>
            <w:tcW w:w="2736" w:type="dxa"/>
            <w:tcBorders>
              <w:top w:val="nil"/>
              <w:left w:val="nil"/>
              <w:bottom w:val="nil"/>
              <w:right w:val="nil"/>
            </w:tcBorders>
            <w:tcMar>
              <w:top w:w="0" w:type="dxa"/>
              <w:left w:w="0" w:type="dxa"/>
              <w:bottom w:w="0" w:type="dxa"/>
              <w:right w:w="227" w:type="dxa"/>
            </w:tcMar>
          </w:tcPr>
          <w:p w:rsidR="006B04D3" w:rsidRDefault="006B04D3"/>
        </w:tc>
      </w:tr>
    </w:tbl>
    <w:p w:rsidR="006B04D3" w:rsidRDefault="00000000">
      <w:pPr>
        <w:rPr>
          <w:sz w:val="8"/>
          <w:szCs w:val="8"/>
        </w:rPr>
      </w:pPr>
      <w:r>
        <w:rPr>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979"/>
      </w:tblGrid>
      <w:tr w:rsidR="006B04D3">
        <w:trPr>
          <w:jc w:val="center"/>
        </w:trPr>
        <w:tc>
          <w:tcPr>
            <w:tcW w:w="5000" w:type="pct"/>
            <w:tcBorders>
              <w:top w:val="nil"/>
              <w:left w:val="nil"/>
              <w:bottom w:val="nil"/>
              <w:right w:val="nil"/>
            </w:tcBorders>
            <w:tcMar>
              <w:top w:w="0" w:type="dxa"/>
              <w:left w:w="0" w:type="dxa"/>
              <w:bottom w:w="0" w:type="dxa"/>
              <w:right w:w="227" w:type="dxa"/>
            </w:tcMar>
          </w:tcPr>
          <w:p w:rsidR="006B04D3" w:rsidRDefault="00000000">
            <w:pPr>
              <w:rPr>
                <w:sz w:val="18"/>
                <w:szCs w:val="18"/>
              </w:rPr>
            </w:pPr>
            <w:r>
              <w:rPr>
                <w:noProof/>
                <w:sz w:val="18"/>
                <w:szCs w:val="18"/>
              </w:rPr>
              <w:drawing>
                <wp:inline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rsidR="006B04D3"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7584"/>
        <w:gridCol w:w="2395"/>
      </w:tblGrid>
      <w:tr w:rsidR="006B04D3">
        <w:tc>
          <w:tcPr>
            <w:tcW w:w="3800" w:type="pct"/>
            <w:tcBorders>
              <w:top w:val="nil"/>
              <w:left w:val="nil"/>
              <w:bottom w:val="nil"/>
              <w:right w:val="nil"/>
            </w:tcBorders>
            <w:tcMar>
              <w:top w:w="0" w:type="dxa"/>
              <w:left w:w="0" w:type="dxa"/>
              <w:bottom w:w="0" w:type="dxa"/>
              <w:right w:w="227" w:type="dxa"/>
            </w:tcMar>
          </w:tcPr>
          <w:p w:rsidR="006B04D3" w:rsidRDefault="00000000">
            <w:pPr>
              <w:spacing w:after="240"/>
              <w:rPr>
                <w:sz w:val="20"/>
                <w:szCs w:val="20"/>
              </w:rPr>
            </w:pPr>
            <w:r>
              <w:rPr>
                <w:i/>
                <w:sz w:val="20"/>
                <w:szCs w:val="20"/>
              </w:rPr>
              <w:t xml:space="preserve">Japanische Kultur und Ästhetik erleben weltweit steigende Aufmerksamkeit. Auch in der Hotellerie wächst das Interesse an Badkonzepten, die sich an der japanischen Badkultur orientieren und Ruhe, Reinigung, Wohlbefinden und Harmonie in den Mittelpunkt stellen. Im familiengeführten Fünf-Sterne-Hotel „Das Central“ im Ötztal in Sölden/Tirol, wurde diese Idee im Rahmen eines ambitionierten Umbaus stimmig umgesetzt. Nun prägen Naturmaterialien, großzügige Räume und ein spektakuläres Summit </w:t>
            </w:r>
            <w:proofErr w:type="spellStart"/>
            <w:r>
              <w:rPr>
                <w:i/>
                <w:sz w:val="20"/>
                <w:szCs w:val="20"/>
              </w:rPr>
              <w:t>Spa</w:t>
            </w:r>
            <w:proofErr w:type="spellEnd"/>
            <w:r>
              <w:rPr>
                <w:i/>
                <w:sz w:val="20"/>
                <w:szCs w:val="20"/>
              </w:rPr>
              <w:t xml:space="preserve"> die Architektur des exklusiven Hotels. In den Badezimmern hat die japanische Badkultur mit innovativen WASHLET des Sanitärunternehmens TOTO Einzug gehalten. „Hochwertige Dusch-WCs gehören in diesem 5-Sterne-Segment heute zum zeitgemäßen Standard in der Badgestaltung – daher wurden WASHLET von TOTO eingesetzt, um den Anspruch an Komfort, Hygiene und Design konsequent bis ins Detail umzusetzen“, erläutert Gastgeberin Angelika Falkner. </w:t>
            </w:r>
          </w:p>
          <w:p w:rsidR="006B04D3" w:rsidRDefault="00000000">
            <w:pPr>
              <w:spacing w:after="240"/>
              <w:rPr>
                <w:sz w:val="20"/>
                <w:szCs w:val="20"/>
              </w:rPr>
            </w:pPr>
            <w:r>
              <w:rPr>
                <w:sz w:val="20"/>
                <w:szCs w:val="20"/>
              </w:rPr>
              <w:t xml:space="preserve">Mitten im Zentrum von Sölden gelegen und zugleich ruhig in die alpine Tallandschaft eingebettet, gehört das 1969 gegründete Hotel zu den prägenden Häusern der Region. Es verbindet Tiroler Tradition mit internationalem Lifestyle und hat sich zu einer festen Größe unter den alpinen Fünf-Sterne-Hotels entwickelt. Ein architektonisches Highlight bildet das Summit </w:t>
            </w:r>
            <w:proofErr w:type="spellStart"/>
            <w:r>
              <w:rPr>
                <w:sz w:val="20"/>
                <w:szCs w:val="20"/>
              </w:rPr>
              <w:t>Spa</w:t>
            </w:r>
            <w:proofErr w:type="spellEnd"/>
            <w:r>
              <w:rPr>
                <w:sz w:val="20"/>
                <w:szCs w:val="20"/>
              </w:rPr>
              <w:t xml:space="preserve">, das als Erweiterung auf dem Dach des bestehenden Gebäudes realisiert wurde. Der Wellnessbereich eröffnet Gästen überraschende Perspektiven auf die Bergwelt des Ötztals und bietet als Herzstück einen verglasten Infinity-Pool mit Glasboden, der scheinbar über den Dächern des Ortes schwebt. Vom Hoteleingang, von den umliegenden Straßen und sogar von den Seilbahnen aus ist das neue </w:t>
            </w:r>
            <w:proofErr w:type="spellStart"/>
            <w:r>
              <w:rPr>
                <w:sz w:val="20"/>
                <w:szCs w:val="20"/>
              </w:rPr>
              <w:t>Spa</w:t>
            </w:r>
            <w:proofErr w:type="spellEnd"/>
            <w:r>
              <w:rPr>
                <w:sz w:val="20"/>
                <w:szCs w:val="20"/>
              </w:rPr>
              <w:t xml:space="preserve"> sichtbar und prägt damit auch das Ortsbild.</w:t>
            </w:r>
          </w:p>
          <w:p w:rsidR="006B04D3" w:rsidRDefault="00000000">
            <w:pPr>
              <w:spacing w:after="240"/>
              <w:rPr>
                <w:sz w:val="20"/>
                <w:szCs w:val="20"/>
              </w:rPr>
            </w:pPr>
            <w:r>
              <w:rPr>
                <w:b/>
                <w:sz w:val="20"/>
                <w:szCs w:val="20"/>
              </w:rPr>
              <w:lastRenderedPageBreak/>
              <w:t>Moderne Architektur mit alpiner Identität</w:t>
            </w:r>
          </w:p>
          <w:p w:rsidR="006B04D3" w:rsidRDefault="00000000">
            <w:pPr>
              <w:spacing w:after="240"/>
              <w:rPr>
                <w:sz w:val="20"/>
                <w:szCs w:val="20"/>
              </w:rPr>
            </w:pPr>
            <w:r>
              <w:rPr>
                <w:sz w:val="20"/>
                <w:szCs w:val="20"/>
              </w:rPr>
              <w:t xml:space="preserve">Die Planung übernahmen MIKA Projektmanagement GmbH gemeinsam mit </w:t>
            </w:r>
            <w:proofErr w:type="spellStart"/>
            <w:r>
              <w:rPr>
                <w:sz w:val="20"/>
                <w:szCs w:val="20"/>
              </w:rPr>
              <w:t>Wimreiter</w:t>
            </w:r>
            <w:proofErr w:type="spellEnd"/>
            <w:r>
              <w:rPr>
                <w:sz w:val="20"/>
                <w:szCs w:val="20"/>
              </w:rPr>
              <w:t xml:space="preserve"> &amp; Partner GmbH. Ziel war es, die bestehende Hotelarchitektur zu erweitern und gleichzeitig eine eigenständige architektonische Identität zu entwickeln. Die Gestaltung verbindet klare Linien mit einer Materialität, die tief in der alpinen Bautradition verwurzelt ist. Naturstein, Holz und textile Oberflächen bestimmen die Atmosphäre der Räume. „Um möglichst viel Naturgefühl ins Haus zu holen, setzen wir im ‚Das Central‘ auf ein bewährtes Quartett: kühler Stein, heimisches Holz, weiches Leder und warme Lodenstoffe“, erläutert Michael </w:t>
            </w:r>
            <w:proofErr w:type="spellStart"/>
            <w:r>
              <w:rPr>
                <w:sz w:val="20"/>
                <w:szCs w:val="20"/>
              </w:rPr>
              <w:t>Waschl</w:t>
            </w:r>
            <w:proofErr w:type="spellEnd"/>
            <w:r>
              <w:rPr>
                <w:sz w:val="20"/>
                <w:szCs w:val="20"/>
              </w:rPr>
              <w:t xml:space="preserve"> aus der Direktion die sinnliche Raumwirkung, die alpine Authentizität mit zeitgemäßer Eleganz in Beziehung setzt.</w:t>
            </w:r>
            <w:r>
              <w:rPr>
                <w:sz w:val="20"/>
                <w:szCs w:val="20"/>
              </w:rPr>
              <w:br/>
            </w:r>
            <w:r>
              <w:rPr>
                <w:sz w:val="20"/>
                <w:szCs w:val="20"/>
              </w:rPr>
              <w:br/>
              <w:t>Großzügige Fensterflächen holen die umliegende Bergwelt in die Innenräume. Architektur und Landschaft treten in einen engen Dialog und prägen das Raumerlebnis im gesamten Haus. Auch die Zimmer und Suiten folgen diesem Prinzip. Hochwertige Materialien, klare Linien und sorgfältige Details schaffen private Rückzugsorte, die Ruhe und Entspannung vermitteln.</w:t>
            </w:r>
          </w:p>
          <w:p w:rsidR="006B04D3" w:rsidRDefault="00000000">
            <w:pPr>
              <w:spacing w:after="240"/>
              <w:rPr>
                <w:sz w:val="20"/>
                <w:szCs w:val="20"/>
              </w:rPr>
            </w:pPr>
            <w:r>
              <w:rPr>
                <w:b/>
                <w:sz w:val="20"/>
                <w:szCs w:val="20"/>
              </w:rPr>
              <w:t>Japanischer Komfort im Bad</w:t>
            </w:r>
          </w:p>
          <w:p w:rsidR="006B04D3" w:rsidRDefault="00000000">
            <w:pPr>
              <w:spacing w:after="240"/>
              <w:rPr>
                <w:sz w:val="20"/>
                <w:szCs w:val="20"/>
              </w:rPr>
            </w:pPr>
            <w:r>
              <w:rPr>
                <w:sz w:val="20"/>
                <w:szCs w:val="20"/>
              </w:rPr>
              <w:t xml:space="preserve">Der internationale Anspruch des Hauses zeigt sich vor allem in der Präsidentensuite, den Juniorsuiten </w:t>
            </w:r>
            <w:proofErr w:type="spellStart"/>
            <w:r>
              <w:rPr>
                <w:sz w:val="20"/>
                <w:szCs w:val="20"/>
              </w:rPr>
              <w:t>Gaislachkogl</w:t>
            </w:r>
            <w:proofErr w:type="spellEnd"/>
            <w:r>
              <w:rPr>
                <w:sz w:val="20"/>
                <w:szCs w:val="20"/>
              </w:rPr>
              <w:t xml:space="preserve"> sowie der Wellnesssuite </w:t>
            </w:r>
            <w:proofErr w:type="spellStart"/>
            <w:r>
              <w:rPr>
                <w:sz w:val="20"/>
                <w:szCs w:val="20"/>
              </w:rPr>
              <w:t>Söldenkogl</w:t>
            </w:r>
            <w:proofErr w:type="spellEnd"/>
            <w:r>
              <w:rPr>
                <w:sz w:val="20"/>
                <w:szCs w:val="20"/>
              </w:rPr>
              <w:t>. In diesen Bereichen kommen WASHLET des japanischen Sanitärunternehmens TOTO zum Einsatz, die den Gästen ein besonderes Erlebnis bieten: die Intimreinigung mit frischem, warmem Wasser, viele weitere Komfortfunktionen, besondere Hygiene und intuitive Nutzung. Während diese Form der Badkultur in Japan seit Jahrzehnten zum Alltag gehört, gewinnt sie auch in europäischen Hotels immer mehr an Bedeutung und wird dort als besonderes Qualitätsmerkmal geschätzt.</w:t>
            </w:r>
          </w:p>
          <w:p w:rsidR="006B04D3" w:rsidRDefault="00000000">
            <w:pPr>
              <w:spacing w:after="240"/>
              <w:rPr>
                <w:sz w:val="20"/>
                <w:szCs w:val="20"/>
              </w:rPr>
            </w:pPr>
            <w:r>
              <w:rPr>
                <w:sz w:val="20"/>
                <w:szCs w:val="20"/>
              </w:rPr>
              <w:t xml:space="preserve">Im „Das Central“ fügen sich die WASHLET harmonisch in die hochwertige Badarchitektur ein. Ihre unaufdringliche Formensprache passt zur stilvollen Gestaltung der Räume und unterstützt den Anspruch des Hauses, Gästen ein ganzheitliches Wohlfühlerlebnis zu bieten. „Internationale Gäste erleben diese Kombination als unerwarteten und zugleich sehr stimmigen Teil ihres Aufenthalts“, weiß Michael </w:t>
            </w:r>
            <w:proofErr w:type="spellStart"/>
            <w:r>
              <w:rPr>
                <w:sz w:val="20"/>
                <w:szCs w:val="20"/>
              </w:rPr>
              <w:t>Waschl</w:t>
            </w:r>
            <w:proofErr w:type="spellEnd"/>
            <w:r>
              <w:rPr>
                <w:sz w:val="20"/>
                <w:szCs w:val="20"/>
              </w:rPr>
              <w:t>.</w:t>
            </w:r>
          </w:p>
          <w:p w:rsidR="006B04D3" w:rsidRDefault="00000000">
            <w:pPr>
              <w:spacing w:after="240"/>
              <w:rPr>
                <w:sz w:val="20"/>
                <w:szCs w:val="20"/>
              </w:rPr>
            </w:pPr>
            <w:r>
              <w:rPr>
                <w:b/>
                <w:sz w:val="20"/>
                <w:szCs w:val="20"/>
              </w:rPr>
              <w:t>Räume für besondere Urlaubsmomente</w:t>
            </w:r>
          </w:p>
          <w:p w:rsidR="006B04D3" w:rsidRDefault="00000000">
            <w:pPr>
              <w:spacing w:after="240"/>
              <w:rPr>
                <w:sz w:val="20"/>
                <w:szCs w:val="20"/>
              </w:rPr>
            </w:pPr>
            <w:r>
              <w:rPr>
                <w:sz w:val="20"/>
                <w:szCs w:val="20"/>
              </w:rPr>
              <w:t xml:space="preserve">„Das Central“ versteht Architektur als Erlebnisraum. Materialien, Licht und Ausblicke sollen Emotionen wecken und den Aufenthalt zu etwas Besonderem machen. Die Gastgeberin Angelika Falkner beschreibt die Idee hinter dem Haus so: „Ein </w:t>
            </w:r>
            <w:proofErr w:type="spellStart"/>
            <w:r>
              <w:rPr>
                <w:sz w:val="20"/>
                <w:szCs w:val="20"/>
              </w:rPr>
              <w:t>Spa</w:t>
            </w:r>
            <w:proofErr w:type="spellEnd"/>
            <w:r>
              <w:rPr>
                <w:sz w:val="20"/>
                <w:szCs w:val="20"/>
              </w:rPr>
              <w:t>-Erlebnis über den Dächern von Sölden, ein Treffpunkt mit Ausblick zum Anstoßen und Suiten mit dem gewissen Extra. Damit wollen wir begeistern, überraschen und außergewöhnliche Urlaubsmomente kreieren.“   </w:t>
            </w:r>
          </w:p>
          <w:p w:rsidR="00FF01F7" w:rsidRDefault="00FF01F7">
            <w:pPr>
              <w:spacing w:after="240"/>
              <w:rPr>
                <w:b/>
                <w:sz w:val="20"/>
                <w:szCs w:val="20"/>
              </w:rPr>
            </w:pPr>
          </w:p>
          <w:p w:rsidR="006B04D3" w:rsidRDefault="00000000">
            <w:pPr>
              <w:spacing w:after="240"/>
              <w:rPr>
                <w:sz w:val="20"/>
                <w:szCs w:val="20"/>
              </w:rPr>
            </w:pPr>
            <w:r>
              <w:rPr>
                <w:b/>
                <w:sz w:val="20"/>
                <w:szCs w:val="20"/>
              </w:rPr>
              <w:lastRenderedPageBreak/>
              <w:t>Ein ambitionierter Plan</w:t>
            </w:r>
          </w:p>
          <w:p w:rsidR="006B04D3" w:rsidRDefault="00000000">
            <w:pPr>
              <w:spacing w:after="240"/>
              <w:rPr>
                <w:sz w:val="20"/>
                <w:szCs w:val="20"/>
              </w:rPr>
            </w:pPr>
            <w:r>
              <w:rPr>
                <w:sz w:val="20"/>
                <w:szCs w:val="20"/>
              </w:rPr>
              <w:t xml:space="preserve">Ein Blick hinter die Kulissen zeigt die ambitionierte Planung und Umsetzung, die der Umbau des Hotels mit sich brachte. „Eine besondere Herausforderung bei diesem Projekt war der sehr enge Zeitrahmen zwischen zwei Saisonen des Hotelbetriebs“, erläutert das Planungsteam um Michael </w:t>
            </w:r>
            <w:proofErr w:type="spellStart"/>
            <w:r>
              <w:rPr>
                <w:sz w:val="20"/>
                <w:szCs w:val="20"/>
              </w:rPr>
              <w:t>Kajnih</w:t>
            </w:r>
            <w:proofErr w:type="spellEnd"/>
            <w:r>
              <w:rPr>
                <w:sz w:val="20"/>
                <w:szCs w:val="20"/>
              </w:rPr>
              <w:t xml:space="preserve"> von Mika Projektmanagement GmbH. Der Umbau musste innerhalb eines äußerst kurzen Bauzeitfensters realisiert werden, damit das Haus rechtzeitig zur nächsten Skisaison wieder vollständig öffnen konnte. Daraus ergaben sich hohe Anforderungen an Bauablauf, Logistik und Terminplanung. Besonders im alpinen Umfeld mit anspruchsvollen Zufahrtswegen, witterungsbedingten Unwägbarkeiten und begrenzten Lagerflächen war eine präzise Koordination aller Gewerke sowie der Materialanlieferungen entscheidend, um den engen Zeitplan zuverlässig einzuhalten. Das Ergebnis zeigt, wie sorgfältige Planung und hochwertige Ausführung auch unter komplexen Rahmenbedingungen ineinandergreifen.</w:t>
            </w:r>
          </w:p>
          <w:p w:rsidR="006B04D3" w:rsidRDefault="00000000">
            <w:pPr>
              <w:spacing w:after="240"/>
              <w:rPr>
                <w:sz w:val="20"/>
                <w:szCs w:val="20"/>
              </w:rPr>
            </w:pPr>
            <w:r>
              <w:rPr>
                <w:b/>
                <w:sz w:val="20"/>
                <w:szCs w:val="20"/>
              </w:rPr>
              <w:t>Daten &amp; Fakten</w:t>
            </w:r>
          </w:p>
          <w:p w:rsidR="006B04D3" w:rsidRDefault="00000000">
            <w:pPr>
              <w:spacing w:after="240"/>
              <w:rPr>
                <w:sz w:val="20"/>
                <w:szCs w:val="20"/>
              </w:rPr>
            </w:pPr>
            <w:r>
              <w:rPr>
                <w:b/>
                <w:sz w:val="20"/>
                <w:szCs w:val="20"/>
              </w:rPr>
              <w:t>Projekt</w:t>
            </w:r>
            <w:r>
              <w:rPr>
                <w:sz w:val="20"/>
                <w:szCs w:val="20"/>
              </w:rPr>
              <w:t>: Das Central, Sölden</w:t>
            </w:r>
            <w:r>
              <w:rPr>
                <w:sz w:val="20"/>
                <w:szCs w:val="20"/>
              </w:rPr>
              <w:br/>
            </w:r>
            <w:r>
              <w:rPr>
                <w:b/>
                <w:sz w:val="20"/>
                <w:szCs w:val="20"/>
              </w:rPr>
              <w:t>Standort</w:t>
            </w:r>
            <w:r>
              <w:rPr>
                <w:sz w:val="20"/>
                <w:szCs w:val="20"/>
              </w:rPr>
              <w:t>: Auweg 3, 6450 Sölden, Österreich</w:t>
            </w:r>
            <w:r>
              <w:rPr>
                <w:sz w:val="20"/>
                <w:szCs w:val="20"/>
              </w:rPr>
              <w:br/>
            </w:r>
            <w:r>
              <w:rPr>
                <w:b/>
                <w:sz w:val="20"/>
                <w:szCs w:val="20"/>
              </w:rPr>
              <w:t>Bauherr</w:t>
            </w:r>
            <w:r>
              <w:rPr>
                <w:sz w:val="20"/>
                <w:szCs w:val="20"/>
              </w:rPr>
              <w:t>: Skiliftgesellschaft Sölden-</w:t>
            </w:r>
            <w:proofErr w:type="spellStart"/>
            <w:r>
              <w:rPr>
                <w:sz w:val="20"/>
                <w:szCs w:val="20"/>
              </w:rPr>
              <w:t>Hochsölden</w:t>
            </w:r>
            <w:proofErr w:type="spellEnd"/>
            <w:r>
              <w:rPr>
                <w:sz w:val="20"/>
                <w:szCs w:val="20"/>
              </w:rPr>
              <w:t xml:space="preserve"> GmbH</w:t>
            </w:r>
          </w:p>
          <w:p w:rsidR="006B04D3" w:rsidRDefault="00000000">
            <w:pPr>
              <w:spacing w:after="240"/>
              <w:rPr>
                <w:sz w:val="20"/>
                <w:szCs w:val="20"/>
              </w:rPr>
            </w:pPr>
            <w:r>
              <w:rPr>
                <w:b/>
                <w:sz w:val="20"/>
                <w:szCs w:val="20"/>
              </w:rPr>
              <w:t>Architektur / Planung</w:t>
            </w:r>
            <w:r>
              <w:rPr>
                <w:sz w:val="20"/>
                <w:szCs w:val="20"/>
              </w:rPr>
              <w:t>:</w:t>
            </w:r>
            <w:r>
              <w:rPr>
                <w:sz w:val="20"/>
                <w:szCs w:val="20"/>
              </w:rPr>
              <w:br/>
              <w:t>MIKA Projektmanagement GmbH</w:t>
            </w:r>
            <w:r>
              <w:rPr>
                <w:sz w:val="20"/>
                <w:szCs w:val="20"/>
              </w:rPr>
              <w:br/>
            </w:r>
            <w:proofErr w:type="spellStart"/>
            <w:r>
              <w:rPr>
                <w:sz w:val="20"/>
                <w:szCs w:val="20"/>
              </w:rPr>
              <w:t>Wimreiter</w:t>
            </w:r>
            <w:proofErr w:type="spellEnd"/>
            <w:r>
              <w:rPr>
                <w:sz w:val="20"/>
                <w:szCs w:val="20"/>
              </w:rPr>
              <w:t xml:space="preserve"> &amp; Partner GmbH</w:t>
            </w:r>
          </w:p>
          <w:p w:rsidR="006B04D3" w:rsidRDefault="00000000">
            <w:pPr>
              <w:spacing w:after="240"/>
              <w:rPr>
                <w:sz w:val="20"/>
                <w:szCs w:val="20"/>
              </w:rPr>
            </w:pPr>
            <w:r>
              <w:rPr>
                <w:b/>
                <w:sz w:val="20"/>
                <w:szCs w:val="20"/>
              </w:rPr>
              <w:t>Bauzeit</w:t>
            </w:r>
            <w:r>
              <w:rPr>
                <w:sz w:val="20"/>
                <w:szCs w:val="20"/>
              </w:rPr>
              <w:t>: April 2023 bis November 2023</w:t>
            </w:r>
            <w:r>
              <w:rPr>
                <w:sz w:val="20"/>
                <w:szCs w:val="20"/>
              </w:rPr>
              <w:br/>
            </w:r>
            <w:r>
              <w:rPr>
                <w:b/>
                <w:sz w:val="20"/>
                <w:szCs w:val="20"/>
              </w:rPr>
              <w:t>Eröffnung</w:t>
            </w:r>
            <w:r>
              <w:rPr>
                <w:sz w:val="20"/>
                <w:szCs w:val="20"/>
              </w:rPr>
              <w:t>: November 2023</w:t>
            </w:r>
            <w:r>
              <w:rPr>
                <w:sz w:val="20"/>
                <w:szCs w:val="20"/>
              </w:rPr>
              <w:br/>
            </w:r>
            <w:r>
              <w:rPr>
                <w:b/>
                <w:sz w:val="20"/>
                <w:szCs w:val="20"/>
              </w:rPr>
              <w:t>Bruttorauminhalt</w:t>
            </w:r>
            <w:r>
              <w:rPr>
                <w:sz w:val="20"/>
                <w:szCs w:val="20"/>
              </w:rPr>
              <w:t xml:space="preserve"> (BRI):</w:t>
            </w:r>
            <w:r>
              <w:rPr>
                <w:sz w:val="20"/>
                <w:szCs w:val="20"/>
              </w:rPr>
              <w:br/>
            </w:r>
            <w:r>
              <w:rPr>
                <w:b/>
                <w:sz w:val="20"/>
                <w:szCs w:val="20"/>
              </w:rPr>
              <w:t>Umbau</w:t>
            </w:r>
            <w:r>
              <w:rPr>
                <w:sz w:val="20"/>
                <w:szCs w:val="20"/>
              </w:rPr>
              <w:t>: 4.945,41 m³</w:t>
            </w:r>
            <w:r>
              <w:rPr>
                <w:sz w:val="20"/>
                <w:szCs w:val="20"/>
              </w:rPr>
              <w:br/>
            </w:r>
            <w:r>
              <w:rPr>
                <w:b/>
                <w:sz w:val="20"/>
                <w:szCs w:val="20"/>
              </w:rPr>
              <w:t>Neubau</w:t>
            </w:r>
            <w:r>
              <w:rPr>
                <w:sz w:val="20"/>
                <w:szCs w:val="20"/>
              </w:rPr>
              <w:t>: 2.571,20 m³</w:t>
            </w:r>
          </w:p>
          <w:p w:rsidR="006B04D3" w:rsidRDefault="00000000">
            <w:pPr>
              <w:spacing w:after="240"/>
              <w:rPr>
                <w:sz w:val="20"/>
                <w:szCs w:val="20"/>
              </w:rPr>
            </w:pPr>
            <w:r>
              <w:rPr>
                <w:b/>
                <w:sz w:val="20"/>
                <w:szCs w:val="20"/>
              </w:rPr>
              <w:t>Verbaute Produkte von TOTO</w:t>
            </w:r>
            <w:r>
              <w:rPr>
                <w:sz w:val="20"/>
                <w:szCs w:val="20"/>
              </w:rPr>
              <w:t>:</w:t>
            </w:r>
            <w:r>
              <w:rPr>
                <w:sz w:val="20"/>
                <w:szCs w:val="20"/>
              </w:rPr>
              <w:br/>
              <w:t>WASHLET Modell RX</w:t>
            </w:r>
          </w:p>
          <w:p w:rsidR="006B04D3" w:rsidRDefault="00000000">
            <w:pPr>
              <w:rPr>
                <w:sz w:val="20"/>
                <w:szCs w:val="20"/>
              </w:rPr>
            </w:pPr>
            <w:r>
              <w:rPr>
                <w:sz w:val="20"/>
                <w:szCs w:val="20"/>
              </w:rPr>
              <w:t>Düsseldorf, April, 2026</w:t>
            </w:r>
            <w:r>
              <w:rPr>
                <w:sz w:val="20"/>
                <w:szCs w:val="20"/>
              </w:rPr>
              <w:br/>
              <w:t>Abdruck honorarfrei / Beleg erbeten</w:t>
            </w:r>
          </w:p>
        </w:tc>
        <w:tc>
          <w:tcPr>
            <w:tcW w:w="1200" w:type="pct"/>
            <w:tcBorders>
              <w:top w:val="nil"/>
              <w:left w:val="nil"/>
              <w:bottom w:val="nil"/>
              <w:right w:val="nil"/>
            </w:tcBorders>
            <w:tcMar>
              <w:top w:w="0" w:type="dxa"/>
              <w:left w:w="0" w:type="dxa"/>
              <w:bottom w:w="0" w:type="dxa"/>
              <w:right w:w="227" w:type="dxa"/>
            </w:tcMar>
          </w:tcPr>
          <w:p w:rsidR="006B04D3" w:rsidRDefault="00000000">
            <w:pPr>
              <w:spacing w:after="240"/>
              <w:rPr>
                <w:sz w:val="20"/>
                <w:szCs w:val="20"/>
              </w:rPr>
            </w:pPr>
            <w:r>
              <w:rPr>
                <w:b/>
                <w:sz w:val="20"/>
                <w:szCs w:val="20"/>
              </w:rPr>
              <w:lastRenderedPageBreak/>
              <w:t>Ansprechpartnerin für die Presse:</w:t>
            </w:r>
            <w:r>
              <w:rPr>
                <w:b/>
                <w:sz w:val="20"/>
                <w:szCs w:val="20"/>
              </w:rPr>
              <w:br/>
            </w:r>
            <w:r>
              <w:rPr>
                <w:sz w:val="20"/>
                <w:szCs w:val="20"/>
              </w:rPr>
              <w:t>bering*</w:t>
            </w:r>
            <w:proofErr w:type="spellStart"/>
            <w:r>
              <w:rPr>
                <w:sz w:val="20"/>
                <w:szCs w:val="20"/>
              </w:rPr>
              <w:t>kopal</w:t>
            </w:r>
            <w:proofErr w:type="spellEnd"/>
            <w:r>
              <w:rPr>
                <w:sz w:val="20"/>
                <w:szCs w:val="20"/>
              </w:rPr>
              <w:t xml:space="preserve"> GbR, Büro für Kommunikation</w:t>
            </w:r>
            <w:r>
              <w:rPr>
                <w:sz w:val="20"/>
                <w:szCs w:val="20"/>
              </w:rPr>
              <w:br/>
              <w:t>Heike Bering</w:t>
            </w:r>
            <w:r>
              <w:rPr>
                <w:sz w:val="20"/>
                <w:szCs w:val="20"/>
              </w:rPr>
              <w:br/>
              <w:t>Tel. +49 (0)711 7451 759 15</w:t>
            </w:r>
          </w:p>
          <w:p w:rsidR="006B04D3" w:rsidRDefault="00000000">
            <w:pPr>
              <w:spacing w:after="240"/>
              <w:rPr>
                <w:sz w:val="20"/>
                <w:szCs w:val="20"/>
              </w:rPr>
            </w:pPr>
            <w:proofErr w:type="spellStart"/>
            <w:proofErr w:type="gramStart"/>
            <w:r>
              <w:rPr>
                <w:sz w:val="20"/>
                <w:szCs w:val="20"/>
              </w:rPr>
              <w:t>heike.bering</w:t>
            </w:r>
            <w:proofErr w:type="spellEnd"/>
            <w:proofErr w:type="gramEnd"/>
            <w:r>
              <w:rPr>
                <w:sz w:val="20"/>
                <w:szCs w:val="20"/>
              </w:rPr>
              <w:t>@</w:t>
            </w:r>
            <w:r>
              <w:rPr>
                <w:sz w:val="20"/>
                <w:szCs w:val="20"/>
              </w:rPr>
              <w:br/>
              <w:t>bering-kopal.de</w:t>
            </w:r>
          </w:p>
          <w:p w:rsidR="006B04D3" w:rsidRDefault="00000000">
            <w:pPr>
              <w:spacing w:after="240"/>
              <w:rPr>
                <w:sz w:val="20"/>
                <w:szCs w:val="20"/>
              </w:rPr>
            </w:pPr>
            <w:r>
              <w:rPr>
                <w:b/>
                <w:sz w:val="20"/>
                <w:szCs w:val="20"/>
              </w:rPr>
              <w:t>Ansprechpartnerin im Unternehmen:</w:t>
            </w:r>
            <w:r>
              <w:rPr>
                <w:b/>
                <w:sz w:val="20"/>
                <w:szCs w:val="20"/>
              </w:rPr>
              <w:br/>
            </w:r>
            <w:r>
              <w:rPr>
                <w:sz w:val="20"/>
                <w:szCs w:val="20"/>
              </w:rPr>
              <w:t>Anja Giersiepen</w:t>
            </w:r>
            <w:r>
              <w:rPr>
                <w:sz w:val="20"/>
                <w:szCs w:val="20"/>
              </w:rPr>
              <w:br/>
            </w:r>
            <w:proofErr w:type="spellStart"/>
            <w:r>
              <w:rPr>
                <w:sz w:val="20"/>
                <w:szCs w:val="20"/>
              </w:rPr>
              <w:t>anja.giersiepen</w:t>
            </w:r>
            <w:proofErr w:type="spellEnd"/>
            <w:r>
              <w:rPr>
                <w:sz w:val="20"/>
                <w:szCs w:val="20"/>
              </w:rPr>
              <w:t>@</w:t>
            </w:r>
            <w:r>
              <w:rPr>
                <w:sz w:val="20"/>
                <w:szCs w:val="20"/>
              </w:rPr>
              <w:br/>
              <w:t>toto.com</w:t>
            </w:r>
          </w:p>
          <w:p w:rsidR="006B04D3" w:rsidRDefault="00000000">
            <w:pPr>
              <w:rPr>
                <w:sz w:val="20"/>
                <w:szCs w:val="20"/>
              </w:rPr>
            </w:pPr>
            <w:r>
              <w:rPr>
                <w:sz w:val="20"/>
                <w:szCs w:val="20"/>
              </w:rPr>
              <w:t>TOTO im Internet:</w:t>
            </w:r>
            <w:r>
              <w:rPr>
                <w:sz w:val="20"/>
                <w:szCs w:val="20"/>
              </w:rPr>
              <w:br/>
            </w:r>
            <w:hyperlink r:id="rId7">
              <w:r>
                <w:rPr>
                  <w:rStyle w:val="Hyperlink"/>
                  <w:color w:val="000000"/>
                  <w:sz w:val="20"/>
                  <w:szCs w:val="20"/>
                </w:rPr>
                <w:t>eu.toto.com/de</w:t>
              </w:r>
            </w:hyperlink>
          </w:p>
        </w:tc>
      </w:tr>
    </w:tbl>
    <w:p w:rsidR="006B04D3" w:rsidRDefault="00000000">
      <w:r>
        <w:lastRenderedPageBreak/>
        <w:br w:type="page"/>
      </w:r>
    </w:p>
    <w:p w:rsidR="006B04D3" w:rsidRDefault="00000000">
      <w:pPr>
        <w:rPr>
          <w:sz w:val="17"/>
          <w:szCs w:val="17"/>
        </w:rPr>
      </w:pPr>
      <w:r>
        <w:rPr>
          <w:b/>
          <w:sz w:val="17"/>
          <w:szCs w:val="17"/>
        </w:rPr>
        <w:lastRenderedPageBreak/>
        <w:t>1</w:t>
      </w:r>
      <w:r>
        <w:rPr>
          <w:sz w:val="17"/>
          <w:szCs w:val="17"/>
        </w:rPr>
        <w:t xml:space="preserve"> Großzügiger Ruhebereich im Summit Relax Area im Summit </w:t>
      </w:r>
      <w:proofErr w:type="spellStart"/>
      <w:r>
        <w:rPr>
          <w:sz w:val="17"/>
          <w:szCs w:val="17"/>
        </w:rPr>
        <w:t>Spa</w:t>
      </w:r>
      <w:proofErr w:type="spellEnd"/>
      <w:r>
        <w:rPr>
          <w:sz w:val="17"/>
          <w:szCs w:val="17"/>
        </w:rPr>
        <w:t>. „Das Central“ ist ein hochwertiges 5-Sterne-Hotel in Sölden/Tirol und versteht Architektur als Erlebnisraum. Materialien, Licht und Ausblicke sollen Emotionen wecken und den Aufenthalt zu etwas Besonderem machen. Foto: Jessica Machon</w:t>
      </w:r>
      <w:r>
        <w:rPr>
          <w:sz w:val="17"/>
          <w:szCs w:val="17"/>
        </w:rPr>
        <w:br/>
      </w:r>
    </w:p>
    <w:p w:rsidR="006B04D3" w:rsidRDefault="00000000">
      <w:pPr>
        <w:rPr>
          <w:sz w:val="17"/>
          <w:szCs w:val="17"/>
        </w:rPr>
      </w:pPr>
      <w:r>
        <w:rPr>
          <w:b/>
          <w:sz w:val="17"/>
          <w:szCs w:val="17"/>
        </w:rPr>
        <w:t>2</w:t>
      </w:r>
      <w:r>
        <w:rPr>
          <w:sz w:val="17"/>
          <w:szCs w:val="17"/>
        </w:rPr>
        <w:t xml:space="preserve"> Eine Lobby zum Wohlfühlen. Mit Eichenholzböden, </w:t>
      </w:r>
      <w:proofErr w:type="spellStart"/>
      <w:r>
        <w:rPr>
          <w:sz w:val="17"/>
          <w:szCs w:val="17"/>
        </w:rPr>
        <w:t>Travertinstein</w:t>
      </w:r>
      <w:proofErr w:type="spellEnd"/>
      <w:r>
        <w:rPr>
          <w:sz w:val="17"/>
          <w:szCs w:val="17"/>
        </w:rPr>
        <w:t>, Lodenstoffe und Echtleder sollte möglichst viel „Naturgefühl“ ins Haus geholt werden. Foto: Jessica Machon</w:t>
      </w:r>
      <w:r>
        <w:rPr>
          <w:sz w:val="17"/>
          <w:szCs w:val="17"/>
        </w:rPr>
        <w:br/>
      </w:r>
    </w:p>
    <w:p w:rsidR="006B04D3" w:rsidRDefault="00000000">
      <w:pPr>
        <w:rPr>
          <w:sz w:val="17"/>
          <w:szCs w:val="17"/>
        </w:rPr>
      </w:pPr>
      <w:r>
        <w:rPr>
          <w:b/>
          <w:sz w:val="17"/>
          <w:szCs w:val="17"/>
        </w:rPr>
        <w:t>3</w:t>
      </w:r>
      <w:r>
        <w:rPr>
          <w:sz w:val="17"/>
          <w:szCs w:val="17"/>
        </w:rPr>
        <w:t xml:space="preserve"> Ein spektakuläres Summit </w:t>
      </w:r>
      <w:proofErr w:type="spellStart"/>
      <w:r>
        <w:rPr>
          <w:sz w:val="17"/>
          <w:szCs w:val="17"/>
        </w:rPr>
        <w:t>Spa</w:t>
      </w:r>
      <w:proofErr w:type="spellEnd"/>
      <w:r>
        <w:rPr>
          <w:sz w:val="17"/>
          <w:szCs w:val="17"/>
        </w:rPr>
        <w:t xml:space="preserve"> über den Dächern von Sölden mit Infinity-Pool prägt die Architektur des exklusiven Hotels „Das Central“ Foto: Jessica Machon</w:t>
      </w:r>
      <w:r>
        <w:rPr>
          <w:sz w:val="17"/>
          <w:szCs w:val="17"/>
        </w:rPr>
        <w:br/>
      </w:r>
    </w:p>
    <w:p w:rsidR="006B04D3" w:rsidRDefault="00000000">
      <w:pPr>
        <w:rPr>
          <w:sz w:val="17"/>
          <w:szCs w:val="17"/>
        </w:rPr>
      </w:pPr>
      <w:r>
        <w:rPr>
          <w:b/>
          <w:sz w:val="17"/>
          <w:szCs w:val="17"/>
        </w:rPr>
        <w:t>4</w:t>
      </w:r>
      <w:r>
        <w:rPr>
          <w:sz w:val="17"/>
          <w:szCs w:val="17"/>
        </w:rPr>
        <w:t xml:space="preserve"> Großzügig und zugleich behaglich sind alle Bereiche des 5-Sterne-Hotels „Das Central“. Die mit einer Holzskulptur überfangene Bar bietet eine willkommene Anlaufstelle nach einem Tag auf der Skipiste und nach Wanderungen. Foto: Jessica Machon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6B04D3">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2.</w:t>
            </w:r>
          </w:p>
        </w:tc>
      </w:tr>
      <w:tr w:rsidR="006B04D3">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8"/>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9"/>
                          <a:srcRect/>
                          <a:stretch>
                            <a:fillRect/>
                          </a:stretch>
                        </pic:blipFill>
                        <pic:spPr>
                          <a:xfrm>
                            <a:off x="0" y="0"/>
                            <a:ext cx="3023235" cy="2014220"/>
                          </a:xfrm>
                          <a:prstGeom prst="rect">
                            <a:avLst/>
                          </a:prstGeom>
                        </pic:spPr>
                      </pic:pic>
                    </a:graphicData>
                  </a:graphic>
                </wp:inline>
              </w:drawing>
            </w:r>
          </w:p>
        </w:tc>
      </w:tr>
      <w:tr w:rsidR="006B04D3">
        <w:tc>
          <w:tcPr>
            <w:tcW w:w="2444"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r>
      <w:tr w:rsidR="006B04D3">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4.</w:t>
            </w:r>
          </w:p>
        </w:tc>
      </w:tr>
      <w:tr w:rsidR="006B04D3">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268478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0"/>
                          <a:srcRect/>
                          <a:stretch>
                            <a:fillRect/>
                          </a:stretch>
                        </pic:blipFill>
                        <pic:spPr>
                          <a:xfrm>
                            <a:off x="0" y="0"/>
                            <a:ext cx="26847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006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1"/>
                          <a:srcRect/>
                          <a:stretch>
                            <a:fillRect/>
                          </a:stretch>
                        </pic:blipFill>
                        <pic:spPr>
                          <a:xfrm>
                            <a:off x="0" y="0"/>
                            <a:ext cx="3020060" cy="2014220"/>
                          </a:xfrm>
                          <a:prstGeom prst="rect">
                            <a:avLst/>
                          </a:prstGeom>
                        </pic:spPr>
                      </pic:pic>
                    </a:graphicData>
                  </a:graphic>
                </wp:inline>
              </w:drawing>
            </w:r>
          </w:p>
        </w:tc>
      </w:tr>
    </w:tbl>
    <w:p w:rsidR="006B04D3" w:rsidRDefault="00000000">
      <w:r>
        <w:br w:type="page"/>
      </w:r>
    </w:p>
    <w:p w:rsidR="006B04D3" w:rsidRDefault="00000000">
      <w:pPr>
        <w:rPr>
          <w:sz w:val="17"/>
          <w:szCs w:val="17"/>
        </w:rPr>
      </w:pPr>
      <w:r>
        <w:rPr>
          <w:b/>
          <w:sz w:val="17"/>
          <w:szCs w:val="17"/>
        </w:rPr>
        <w:lastRenderedPageBreak/>
        <w:t>5</w:t>
      </w:r>
      <w:r>
        <w:rPr>
          <w:sz w:val="17"/>
          <w:szCs w:val="17"/>
        </w:rPr>
        <w:t xml:space="preserve"> Mit dem WASHLET von TOTO ist die japanische Badkultur auch ins alpine </w:t>
      </w:r>
      <w:proofErr w:type="spellStart"/>
      <w:r>
        <w:rPr>
          <w:sz w:val="17"/>
          <w:szCs w:val="17"/>
        </w:rPr>
        <w:t>Skihotel</w:t>
      </w:r>
      <w:proofErr w:type="spellEnd"/>
      <w:r>
        <w:rPr>
          <w:sz w:val="17"/>
          <w:szCs w:val="17"/>
        </w:rPr>
        <w:t xml:space="preserve"> „Das Central“ eingezogen. Über die Fernbedienung lassen sich zahlreiche Komfortfunktionen einstellen, die die Nutzung des WASHLET zu einem erfrischenden Erlebnis machen. Foto: Jessica Machon</w:t>
      </w:r>
      <w:r>
        <w:rPr>
          <w:sz w:val="17"/>
          <w:szCs w:val="17"/>
        </w:rPr>
        <w:br/>
      </w:r>
    </w:p>
    <w:p w:rsidR="006B04D3" w:rsidRDefault="00000000">
      <w:pPr>
        <w:rPr>
          <w:sz w:val="17"/>
          <w:szCs w:val="17"/>
        </w:rPr>
      </w:pPr>
      <w:r>
        <w:rPr>
          <w:b/>
          <w:sz w:val="17"/>
          <w:szCs w:val="17"/>
        </w:rPr>
        <w:t>6</w:t>
      </w:r>
      <w:r>
        <w:rPr>
          <w:sz w:val="17"/>
          <w:szCs w:val="17"/>
        </w:rPr>
        <w:t xml:space="preserve"> WASHLET von TOTO tragen dazu bei, dass die Gäste sich im Hotel wohlfühlen und ein gewisses „Extra“ genießen. Während Dusch-WCs in Japan zum Alltag gehören, sind sie in Europa bisher vor allem im Luxusbereich wie 5-Sterne-Hotels zu finden. Foto: Jessica Machon</w:t>
      </w:r>
      <w:r>
        <w:rPr>
          <w:sz w:val="17"/>
          <w:szCs w:val="17"/>
        </w:rPr>
        <w:br/>
      </w:r>
    </w:p>
    <w:p w:rsidR="006B04D3" w:rsidRDefault="00000000">
      <w:pPr>
        <w:rPr>
          <w:sz w:val="17"/>
          <w:szCs w:val="17"/>
        </w:rPr>
      </w:pPr>
      <w:r>
        <w:rPr>
          <w:b/>
          <w:sz w:val="17"/>
          <w:szCs w:val="17"/>
        </w:rPr>
        <w:t>7</w:t>
      </w:r>
      <w:r>
        <w:rPr>
          <w:sz w:val="17"/>
          <w:szCs w:val="17"/>
        </w:rPr>
        <w:t xml:space="preserve"> Alpiner Charme in den Restaurants. Der Inhaberfamilie ist es wichtig, ihren internationalen Gästen einen authentischen Ort zu bieten, der internationales Flair mit regionalen Besonderheiten verbindet. Dazu zählen auch die eingesetzten Materialien wie heimisches Holz oder Loden im Interior Design. Foto: Jessica Machon</w:t>
      </w:r>
      <w:r>
        <w:rPr>
          <w:sz w:val="17"/>
          <w:szCs w:val="17"/>
        </w:rPr>
        <w:br/>
      </w:r>
    </w:p>
    <w:p w:rsidR="006B04D3" w:rsidRDefault="00000000">
      <w:pPr>
        <w:rPr>
          <w:sz w:val="17"/>
          <w:szCs w:val="17"/>
        </w:rPr>
      </w:pPr>
      <w:r>
        <w:rPr>
          <w:b/>
          <w:sz w:val="17"/>
          <w:szCs w:val="17"/>
        </w:rPr>
        <w:t>8</w:t>
      </w:r>
      <w:r>
        <w:rPr>
          <w:sz w:val="17"/>
          <w:szCs w:val="17"/>
        </w:rPr>
        <w:t xml:space="preserve"> Komfort pur in einem der 125 behaglichen Zimmer und Suiten, die mit viel Liebe zum Detail ausgestattet wurden. Knapp vier Jahre lang wurde vor der eigentlichen Umbauphase an Ideen gefeilt, Pläne gewälzt, Materialien ausgewählt und sogar Musterzimmer gebaut, damit am Ende jedes Detail stimmig ist. Foto: Jessica Machon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6B04D3">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6.</w:t>
            </w:r>
          </w:p>
        </w:tc>
      </w:tr>
      <w:tr w:rsidR="006B04D3">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2"/>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3"/>
                          <a:srcRect/>
                          <a:stretch>
                            <a:fillRect/>
                          </a:stretch>
                        </pic:blipFill>
                        <pic:spPr>
                          <a:xfrm>
                            <a:off x="0" y="0"/>
                            <a:ext cx="3023235" cy="2014220"/>
                          </a:xfrm>
                          <a:prstGeom prst="rect">
                            <a:avLst/>
                          </a:prstGeom>
                        </pic:spPr>
                      </pic:pic>
                    </a:graphicData>
                  </a:graphic>
                </wp:inline>
              </w:drawing>
            </w:r>
          </w:p>
        </w:tc>
      </w:tr>
      <w:tr w:rsidR="006B04D3">
        <w:tc>
          <w:tcPr>
            <w:tcW w:w="2444"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r>
      <w:tr w:rsidR="006B04D3">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7.</w:t>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8.</w:t>
            </w:r>
          </w:p>
        </w:tc>
      </w:tr>
      <w:tr w:rsidR="006B04D3">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4"/>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5"/>
                          <a:srcRect/>
                          <a:stretch>
                            <a:fillRect/>
                          </a:stretch>
                        </pic:blipFill>
                        <pic:spPr>
                          <a:xfrm>
                            <a:off x="0" y="0"/>
                            <a:ext cx="3023235" cy="2014220"/>
                          </a:xfrm>
                          <a:prstGeom prst="rect">
                            <a:avLst/>
                          </a:prstGeom>
                        </pic:spPr>
                      </pic:pic>
                    </a:graphicData>
                  </a:graphic>
                </wp:inline>
              </w:drawing>
            </w:r>
          </w:p>
        </w:tc>
      </w:tr>
    </w:tbl>
    <w:p w:rsidR="006B04D3" w:rsidRDefault="00000000">
      <w:r>
        <w:br w:type="page"/>
      </w:r>
    </w:p>
    <w:p w:rsidR="006B04D3" w:rsidRDefault="00000000">
      <w:pPr>
        <w:rPr>
          <w:sz w:val="17"/>
          <w:szCs w:val="17"/>
        </w:rPr>
      </w:pPr>
      <w:r>
        <w:rPr>
          <w:b/>
          <w:sz w:val="17"/>
          <w:szCs w:val="17"/>
        </w:rPr>
        <w:lastRenderedPageBreak/>
        <w:t>9</w:t>
      </w:r>
      <w:r>
        <w:rPr>
          <w:sz w:val="17"/>
          <w:szCs w:val="17"/>
        </w:rPr>
        <w:t xml:space="preserve"> Wellnessbereich und Sauna bieten reichlich Platz und eröffnen Gästen überraschende Perspektiven auf die Bergwelt des Ötztals. Foto: Jessica Machon</w:t>
      </w:r>
      <w:r>
        <w:rPr>
          <w:sz w:val="17"/>
          <w:szCs w:val="17"/>
        </w:rPr>
        <w:br/>
      </w:r>
    </w:p>
    <w:p w:rsidR="006B04D3" w:rsidRDefault="00000000">
      <w:pPr>
        <w:rPr>
          <w:sz w:val="17"/>
          <w:szCs w:val="17"/>
        </w:rPr>
      </w:pPr>
      <w:r>
        <w:rPr>
          <w:b/>
          <w:sz w:val="17"/>
          <w:szCs w:val="17"/>
        </w:rPr>
        <w:t>10</w:t>
      </w:r>
      <w:r>
        <w:rPr>
          <w:sz w:val="17"/>
          <w:szCs w:val="17"/>
        </w:rPr>
        <w:t xml:space="preserve"> Ein hochwertiger Minimalismus und die Konzentration auf das Wesentliche ist für die japanische Badkultur charakteristisch. Die Badezimmer strahlen viel Ruhe aus und bieten mit dem WASHLET von TOTO sowie der großzügigen Badewanne Komfort und pure Entspannung. Foto: Jessica Machon</w:t>
      </w:r>
      <w:r>
        <w:rPr>
          <w:sz w:val="17"/>
          <w:szCs w:val="17"/>
        </w:rPr>
        <w:br/>
      </w:r>
    </w:p>
    <w:p w:rsidR="006B04D3" w:rsidRDefault="00000000">
      <w:pPr>
        <w:rPr>
          <w:sz w:val="17"/>
          <w:szCs w:val="17"/>
        </w:rPr>
      </w:pPr>
      <w:r>
        <w:rPr>
          <w:b/>
          <w:sz w:val="17"/>
          <w:szCs w:val="17"/>
        </w:rPr>
        <w:t>11</w:t>
      </w:r>
      <w:r>
        <w:rPr>
          <w:sz w:val="17"/>
          <w:szCs w:val="17"/>
        </w:rPr>
        <w:t xml:space="preserve"> Ein Detail, auf das es ankommt. Die gut gestaltete Fernbedienung zur Nutzung des WASHLET ist selbsterklärend. Sie ermöglicht es, Strahlarten zur Intimreinigung – unter anderem eine „Ladydusche“ sowie andere Komfortfunktionen, individuell einzustellen. Foto: Jessica Machon</w:t>
      </w:r>
      <w:r>
        <w:rPr>
          <w:sz w:val="17"/>
          <w:szCs w:val="17"/>
        </w:rPr>
        <w:br/>
      </w:r>
    </w:p>
    <w:p w:rsidR="006B04D3" w:rsidRDefault="00000000">
      <w:pPr>
        <w:rPr>
          <w:sz w:val="17"/>
          <w:szCs w:val="17"/>
        </w:rPr>
      </w:pPr>
      <w:r>
        <w:rPr>
          <w:b/>
          <w:sz w:val="17"/>
          <w:szCs w:val="17"/>
        </w:rPr>
        <w:t>12</w:t>
      </w:r>
      <w:r>
        <w:rPr>
          <w:sz w:val="17"/>
          <w:szCs w:val="17"/>
        </w:rPr>
        <w:t xml:space="preserve"> Das Entrée des seit 1969 familiengeführten 5-Sterne-Hotels in Sölden/Tirol empfängt seine Gäste mit alpiner Architektur. Holz und Naturstein sind prägend. Foto: Jessica Machon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6B04D3">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9.</w:t>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10.</w:t>
            </w:r>
          </w:p>
        </w:tc>
      </w:tr>
      <w:tr w:rsidR="006B04D3">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6"/>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dpi="0">
                          <a:blip r:embed="rId17"/>
                          <a:srcRect/>
                          <a:stretch>
                            <a:fillRect/>
                          </a:stretch>
                        </pic:blipFill>
                        <pic:spPr>
                          <a:xfrm>
                            <a:off x="0" y="0"/>
                            <a:ext cx="3023235" cy="2014220"/>
                          </a:xfrm>
                          <a:prstGeom prst="rect">
                            <a:avLst/>
                          </a:prstGeom>
                        </pic:spPr>
                      </pic:pic>
                    </a:graphicData>
                  </a:graphic>
                </wp:inline>
              </w:drawing>
            </w:r>
          </w:p>
        </w:tc>
      </w:tr>
      <w:tr w:rsidR="006B04D3">
        <w:tc>
          <w:tcPr>
            <w:tcW w:w="2444"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r>
      <w:tr w:rsidR="006B04D3">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11.</w:t>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nil"/>
              <w:left w:val="nil"/>
              <w:bottom w:val="nil"/>
              <w:right w:val="nil"/>
            </w:tcBorders>
            <w:tcMar>
              <w:top w:w="0" w:type="dxa"/>
              <w:left w:w="0" w:type="dxa"/>
              <w:bottom w:w="0" w:type="dxa"/>
              <w:right w:w="0" w:type="dxa"/>
            </w:tcMar>
          </w:tcPr>
          <w:p w:rsidR="006B04D3" w:rsidRDefault="00000000">
            <w:pPr>
              <w:keepNext/>
              <w:keepLines/>
              <w:rPr>
                <w:sz w:val="14"/>
                <w:szCs w:val="14"/>
              </w:rPr>
            </w:pPr>
            <w:r>
              <w:rPr>
                <w:sz w:val="14"/>
                <w:szCs w:val="14"/>
              </w:rPr>
              <w:t>12.</w:t>
            </w:r>
          </w:p>
        </w:tc>
      </w:tr>
      <w:tr w:rsidR="006B04D3">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dpi="0">
                          <a:blip r:embed="rId18"/>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rsidR="006B04D3" w:rsidRDefault="006B04D3">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rsidR="006B04D3" w:rsidRDefault="00000000">
            <w:pPr>
              <w:keepNext/>
              <w:keepLines/>
              <w:rPr>
                <w:sz w:val="14"/>
                <w:szCs w:val="14"/>
              </w:rPr>
            </w:pPr>
            <w:r>
              <w:rPr>
                <w:noProof/>
                <w:sz w:val="14"/>
                <w:szCs w:val="14"/>
              </w:rPr>
              <w:drawing>
                <wp:inline distT="0" distB="0" distL="0" distR="0">
                  <wp:extent cx="3023235" cy="201422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dpi="0">
                          <a:blip r:embed="rId19"/>
                          <a:srcRect/>
                          <a:stretch>
                            <a:fillRect/>
                          </a:stretch>
                        </pic:blipFill>
                        <pic:spPr>
                          <a:xfrm>
                            <a:off x="0" y="0"/>
                            <a:ext cx="3023235" cy="2014220"/>
                          </a:xfrm>
                          <a:prstGeom prst="rect">
                            <a:avLst/>
                          </a:prstGeom>
                        </pic:spPr>
                      </pic:pic>
                    </a:graphicData>
                  </a:graphic>
                </wp:inline>
              </w:drawing>
            </w:r>
          </w:p>
        </w:tc>
      </w:tr>
    </w:tbl>
    <w:p w:rsidR="006B04D3" w:rsidRDefault="00000000">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792"/>
        <w:gridCol w:w="3792"/>
        <w:gridCol w:w="2395"/>
      </w:tblGrid>
      <w:tr w:rsidR="006B04D3">
        <w:tc>
          <w:tcPr>
            <w:tcW w:w="3800" w:type="pct"/>
            <w:gridSpan w:val="2"/>
            <w:tcBorders>
              <w:top w:val="nil"/>
              <w:left w:val="nil"/>
              <w:bottom w:val="nil"/>
              <w:right w:val="nil"/>
            </w:tcBorders>
            <w:tcMar>
              <w:top w:w="0" w:type="dxa"/>
              <w:left w:w="0" w:type="dxa"/>
              <w:bottom w:w="0" w:type="dxa"/>
              <w:right w:w="227" w:type="dxa"/>
            </w:tcMar>
          </w:tcPr>
          <w:p w:rsidR="006B04D3" w:rsidRDefault="00000000">
            <w:pPr>
              <w:spacing w:before="240" w:after="240"/>
              <w:rPr>
                <w:sz w:val="20"/>
                <w:szCs w:val="20"/>
              </w:rPr>
            </w:pPr>
            <w:r>
              <w:rPr>
                <w:b/>
                <w:sz w:val="20"/>
                <w:szCs w:val="20"/>
              </w:rPr>
              <w:lastRenderedPageBreak/>
              <w:t>Über TOTO Europe</w:t>
            </w:r>
          </w:p>
          <w:p w:rsidR="006B04D3" w:rsidRDefault="00000000">
            <w:pPr>
              <w:spacing w:before="240" w:after="240"/>
              <w:rPr>
                <w:sz w:val="20"/>
                <w:szCs w:val="20"/>
              </w:rPr>
            </w:pPr>
            <w:r>
              <w:rPr>
                <w:sz w:val="20"/>
                <w:szCs w:val="20"/>
              </w:rPr>
              <w:t xml:space="preserve">TOTO steht für Badkultur auf höchstem Niveau. Design, Komfort und Hygiene greifen so präzise ineinander, dass die raffiniert integrierte Technik fast unsichtbar wird. Als Japans führender Komplettbadanbieter entwickelt TOTO ganzheitliche Lösungen für anspruchsvolle private und öffentliche Räume und ist seit 2009 auch erfolgreich in Europa präsent. TOTO prägt die Badgestaltung mit innovativer Sanitärkeramik, Armaturen und vor allem dem WASHLET, von dem bereits über 70 Millionen weltweit verkauft wurden. Das japanische Designverständnis von TOTO stellt den Menschen und seine Bedürfnisse in den Mittelpunkt. So entstehen Produkte, die vom Respekt für das Gegenüber geprägt sind – zurückhaltend im Design, selbstverständlich in der Nutzung. Diesen Respekt erweist TOTO auch der Umwelt. Mit wassersparenden Technologien trägt TOTO aktiv zur Ressourcenschonung bei und verfolgt seine Nachhaltigkeitsstrategie im Rahmen international anerkannter Initiativen wie der </w:t>
            </w:r>
            <w:hyperlink r:id="rId20">
              <w:r>
                <w:rPr>
                  <w:rStyle w:val="Hyperlink"/>
                  <w:color w:val="000000"/>
                  <w:sz w:val="20"/>
                  <w:szCs w:val="20"/>
                </w:rPr>
                <w:t>Climate Group RE100</w:t>
              </w:r>
            </w:hyperlink>
            <w:r>
              <w:rPr>
                <w:sz w:val="20"/>
                <w:szCs w:val="20"/>
              </w:rPr>
              <w:t xml:space="preserve"> und der </w:t>
            </w:r>
            <w:hyperlink r:id="rId21">
              <w:r>
                <w:rPr>
                  <w:rStyle w:val="Hyperlink"/>
                  <w:color w:val="000000"/>
                  <w:sz w:val="20"/>
                  <w:szCs w:val="20"/>
                </w:rPr>
                <w:t xml:space="preserve">Science </w:t>
              </w:r>
              <w:proofErr w:type="spellStart"/>
              <w:r>
                <w:rPr>
                  <w:rStyle w:val="Hyperlink"/>
                  <w:color w:val="000000"/>
                  <w:sz w:val="20"/>
                  <w:szCs w:val="20"/>
                </w:rPr>
                <w:t>Based</w:t>
              </w:r>
              <w:proofErr w:type="spellEnd"/>
              <w:r>
                <w:rPr>
                  <w:rStyle w:val="Hyperlink"/>
                  <w:color w:val="000000"/>
                  <w:sz w:val="20"/>
                  <w:szCs w:val="20"/>
                </w:rPr>
                <w:t xml:space="preserve"> Targets Initiative</w:t>
              </w:r>
            </w:hyperlink>
            <w:r>
              <w:rPr>
                <w:sz w:val="20"/>
                <w:szCs w:val="20"/>
              </w:rPr>
              <w:t>.</w:t>
            </w:r>
          </w:p>
          <w:p w:rsidR="006B04D3" w:rsidRDefault="00000000">
            <w:pPr>
              <w:rPr>
                <w:sz w:val="20"/>
                <w:szCs w:val="20"/>
              </w:rPr>
            </w:pPr>
            <w:r>
              <w:rPr>
                <w:sz w:val="20"/>
                <w:szCs w:val="20"/>
              </w:rPr>
              <w:br/>
            </w:r>
          </w:p>
        </w:tc>
        <w:tc>
          <w:tcPr>
            <w:tcW w:w="1200" w:type="pct"/>
            <w:tcBorders>
              <w:top w:val="nil"/>
              <w:left w:val="nil"/>
              <w:bottom w:val="nil"/>
              <w:right w:val="nil"/>
            </w:tcBorders>
            <w:tcMar>
              <w:top w:w="0" w:type="dxa"/>
              <w:left w:w="0" w:type="dxa"/>
              <w:bottom w:w="0" w:type="dxa"/>
              <w:right w:w="227" w:type="dxa"/>
            </w:tcMar>
          </w:tcPr>
          <w:p w:rsidR="006B04D3" w:rsidRDefault="00000000">
            <w:pPr>
              <w:rPr>
                <w:sz w:val="20"/>
                <w:szCs w:val="20"/>
              </w:rPr>
            </w:pPr>
            <w:r>
              <w:rPr>
                <w:sz w:val="20"/>
                <w:szCs w:val="20"/>
              </w:rPr>
              <w:br/>
            </w:r>
          </w:p>
        </w:tc>
      </w:tr>
      <w:tr w:rsidR="006B04D3">
        <w:trPr>
          <w:gridAfter w:val="1"/>
          <w:wAfter w:w="1728" w:type="dxa"/>
        </w:trPr>
        <w:tc>
          <w:tcPr>
            <w:tcW w:w="2736" w:type="dxa"/>
            <w:tcBorders>
              <w:top w:val="nil"/>
              <w:left w:val="nil"/>
              <w:bottom w:val="nil"/>
              <w:right w:val="nil"/>
            </w:tcBorders>
            <w:tcMar>
              <w:top w:w="0" w:type="dxa"/>
              <w:left w:w="0" w:type="dxa"/>
              <w:bottom w:w="0" w:type="dxa"/>
              <w:right w:w="227" w:type="dxa"/>
            </w:tcMar>
          </w:tcPr>
          <w:p w:rsidR="006B04D3" w:rsidRDefault="006B04D3">
            <w:pPr>
              <w:rPr>
                <w:sz w:val="20"/>
                <w:szCs w:val="20"/>
              </w:rPr>
            </w:pPr>
          </w:p>
        </w:tc>
        <w:tc>
          <w:tcPr>
            <w:tcW w:w="2736" w:type="dxa"/>
            <w:tcBorders>
              <w:top w:val="nil"/>
              <w:left w:val="nil"/>
              <w:bottom w:val="nil"/>
              <w:right w:val="nil"/>
            </w:tcBorders>
            <w:tcMar>
              <w:top w:w="0" w:type="dxa"/>
              <w:left w:w="0" w:type="dxa"/>
              <w:bottom w:w="0" w:type="dxa"/>
              <w:right w:w="227" w:type="dxa"/>
            </w:tcMar>
          </w:tcPr>
          <w:p w:rsidR="006B04D3" w:rsidRDefault="006B04D3">
            <w:pPr>
              <w:rPr>
                <w:sz w:val="20"/>
                <w:szCs w:val="20"/>
              </w:rPr>
            </w:pPr>
          </w:p>
        </w:tc>
      </w:tr>
    </w:tbl>
    <w:p w:rsidR="006B04D3" w:rsidRDefault="006B04D3"/>
    <w:sectPr w:rsidR="006B04D3">
      <w:headerReference w:type="default" r:id="rId22"/>
      <w:footerReference w:type="default" r:id="rId23"/>
      <w:headerReference w:type="first" r:id="rId24"/>
      <w:footerReference w:type="first" r:id="rId25"/>
      <w:pgSz w:w="11906" w:h="16838"/>
      <w:pgMar w:top="1701" w:right="1020" w:bottom="1701"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803" w:rsidRDefault="00C24803">
      <w:pPr>
        <w:spacing w:line="240" w:lineRule="auto"/>
      </w:pPr>
      <w:r>
        <w:separator/>
      </w:r>
    </w:p>
  </w:endnote>
  <w:endnote w:type="continuationSeparator" w:id="0">
    <w:p w:rsidR="00C24803" w:rsidRDefault="00C248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6B04D3">
      <w:tc>
        <w:tcPr>
          <w:tcW w:w="4900" w:type="pct"/>
          <w:tcBorders>
            <w:top w:val="nil"/>
            <w:left w:val="nil"/>
            <w:bottom w:val="nil"/>
            <w:right w:val="nil"/>
          </w:tcBorders>
          <w:tcMar>
            <w:top w:w="0" w:type="dxa"/>
            <w:left w:w="0" w:type="dxa"/>
            <w:bottom w:w="0" w:type="dxa"/>
            <w:right w:w="0" w:type="dxa"/>
          </w:tcMar>
          <w:vAlign w:val="bottom"/>
        </w:tcPr>
        <w:tbl>
          <w:tblPr>
            <w:tblW w:w="5000" w:type="pct"/>
            <w:tblCellSpacing w:w="0" w:type="dxa"/>
            <w:tblBorders>
              <w:top w:val="nil"/>
              <w:left w:val="nil"/>
              <w:bottom w:val="nil"/>
              <w:right w:val="nil"/>
            </w:tblBorders>
            <w:tblCellMar>
              <w:left w:w="0" w:type="dxa"/>
              <w:right w:w="0" w:type="dxa"/>
            </w:tblCellMar>
            <w:tblLook w:val="04A0" w:firstRow="1" w:lastRow="0" w:firstColumn="1" w:lastColumn="0" w:noHBand="0" w:noVBand="1"/>
          </w:tblPr>
          <w:tblGrid>
            <w:gridCol w:w="35"/>
            <w:gridCol w:w="93"/>
            <w:gridCol w:w="1590"/>
            <w:gridCol w:w="35"/>
            <w:gridCol w:w="93"/>
            <w:gridCol w:w="1590"/>
            <w:gridCol w:w="35"/>
            <w:gridCol w:w="93"/>
            <w:gridCol w:w="2151"/>
            <w:gridCol w:w="35"/>
            <w:gridCol w:w="94"/>
            <w:gridCol w:w="1965"/>
            <w:gridCol w:w="35"/>
            <w:gridCol w:w="94"/>
            <w:gridCol w:w="1591"/>
            <w:gridCol w:w="20"/>
          </w:tblGrid>
          <w:tr w:rsidR="006B04D3">
            <w:trPr>
              <w:tblCellSpacing w:w="0" w:type="dxa"/>
            </w:trPr>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850" w:type="pct"/>
                <w:vAlign w:val="center"/>
                <w:hideMark/>
              </w:tcPr>
              <w:p w:rsidR="006B04D3" w:rsidRDefault="00000000">
                <w:pPr>
                  <w:rPr>
                    <w:sz w:val="10"/>
                    <w:szCs w:val="10"/>
                  </w:rPr>
                </w:pPr>
                <w:r>
                  <w:rPr>
                    <w:b/>
                    <w:sz w:val="10"/>
                    <w:szCs w:val="10"/>
                  </w:rPr>
                  <w:t>TOTO Europe GmbH</w:t>
                </w:r>
                <w:r>
                  <w:rPr>
                    <w:b/>
                    <w:sz w:val="10"/>
                    <w:szCs w:val="10"/>
                  </w:rPr>
                  <w:br/>
                </w:r>
                <w:r>
                  <w:rPr>
                    <w:sz w:val="10"/>
                    <w:szCs w:val="10"/>
                  </w:rPr>
                  <w:t>Zollhof 2</w:t>
                </w:r>
                <w:r>
                  <w:rPr>
                    <w:sz w:val="10"/>
                    <w:szCs w:val="10"/>
                  </w:rPr>
                  <w:br/>
                  <w:t>40221 Düsseldorf</w:t>
                </w:r>
                <w:r>
                  <w:rPr>
                    <w:sz w:val="10"/>
                    <w:szCs w:val="10"/>
                  </w:rPr>
                  <w:br/>
                  <w:t>Germany</w:t>
                </w:r>
              </w:p>
            </w:tc>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850" w:type="pct"/>
                <w:vAlign w:val="center"/>
                <w:hideMark/>
              </w:tcPr>
              <w:p w:rsidR="006B04D3" w:rsidRDefault="00000000">
                <w:pPr>
                  <w:rPr>
                    <w:sz w:val="10"/>
                    <w:szCs w:val="10"/>
                  </w:rPr>
                </w:pPr>
                <w:r>
                  <w:rPr>
                    <w:sz w:val="10"/>
                    <w:szCs w:val="10"/>
                  </w:rPr>
                  <w:t>T +49 (0)211 2 73 08-200</w:t>
                </w:r>
                <w:r>
                  <w:rPr>
                    <w:sz w:val="10"/>
                    <w:szCs w:val="10"/>
                  </w:rPr>
                  <w:br/>
                  <w:t>F +49 (0)211 2 73 08-202</w:t>
                </w:r>
                <w:r>
                  <w:rPr>
                    <w:sz w:val="10"/>
                    <w:szCs w:val="10"/>
                  </w:rPr>
                  <w:br/>
                  <w:t>teu.info@toto.com</w:t>
                </w:r>
                <w:r>
                  <w:rPr>
                    <w:sz w:val="10"/>
                    <w:szCs w:val="10"/>
                  </w:rPr>
                  <w:br/>
                  <w:t>eu.toto.com</w:t>
                </w:r>
              </w:p>
            </w:tc>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1150" w:type="pct"/>
                <w:vAlign w:val="center"/>
                <w:hideMark/>
              </w:tcPr>
              <w:p w:rsidR="006B04D3" w:rsidRDefault="00000000">
                <w:pPr>
                  <w:rPr>
                    <w:sz w:val="10"/>
                    <w:szCs w:val="10"/>
                  </w:rPr>
                </w:pPr>
                <w:r>
                  <w:rPr>
                    <w:sz w:val="10"/>
                    <w:szCs w:val="10"/>
                  </w:rPr>
                  <w:t>Commerzbank AG Essen</w:t>
                </w:r>
                <w:r>
                  <w:rPr>
                    <w:sz w:val="10"/>
                    <w:szCs w:val="10"/>
                  </w:rPr>
                  <w:br/>
                  <w:t xml:space="preserve">BLZ: 360 400 </w:t>
                </w:r>
                <w:proofErr w:type="gramStart"/>
                <w:r>
                  <w:rPr>
                    <w:sz w:val="10"/>
                    <w:szCs w:val="10"/>
                  </w:rPr>
                  <w:t>39 .</w:t>
                </w:r>
                <w:proofErr w:type="gramEnd"/>
                <w:r>
                  <w:rPr>
                    <w:sz w:val="10"/>
                    <w:szCs w:val="10"/>
                  </w:rPr>
                  <w:t xml:space="preserve"> KTO: 150 6211</w:t>
                </w:r>
                <w:r>
                  <w:rPr>
                    <w:sz w:val="10"/>
                    <w:szCs w:val="10"/>
                  </w:rPr>
                  <w:br/>
                  <w:t>IBAN: DE 32 36040039 0150621100</w:t>
                </w:r>
                <w:r>
                  <w:rPr>
                    <w:sz w:val="10"/>
                    <w:szCs w:val="10"/>
                  </w:rPr>
                  <w:br/>
                  <w:t>BIC: COBADEFF360</w:t>
                </w:r>
              </w:p>
            </w:tc>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1050" w:type="pct"/>
                <w:vAlign w:val="center"/>
                <w:hideMark/>
              </w:tcPr>
              <w:p w:rsidR="006B04D3" w:rsidRDefault="00000000">
                <w:pPr>
                  <w:rPr>
                    <w:sz w:val="10"/>
                    <w:szCs w:val="10"/>
                  </w:rPr>
                </w:pPr>
                <w:r>
                  <w:rPr>
                    <w:sz w:val="10"/>
                    <w:szCs w:val="10"/>
                  </w:rPr>
                  <w:t xml:space="preserve">AG </w:t>
                </w:r>
                <w:proofErr w:type="gramStart"/>
                <w:r>
                  <w:rPr>
                    <w:sz w:val="10"/>
                    <w:szCs w:val="10"/>
                  </w:rPr>
                  <w:t>Düsseldorf .</w:t>
                </w:r>
                <w:proofErr w:type="gramEnd"/>
                <w:r>
                  <w:rPr>
                    <w:sz w:val="10"/>
                    <w:szCs w:val="10"/>
                  </w:rPr>
                  <w:t xml:space="preserve"> HRB 24827</w:t>
                </w:r>
                <w:r>
                  <w:rPr>
                    <w:sz w:val="10"/>
                    <w:szCs w:val="10"/>
                  </w:rPr>
                  <w:br/>
                  <w:t>Geschäftsführer:</w:t>
                </w:r>
                <w:r>
                  <w:rPr>
                    <w:sz w:val="10"/>
                    <w:szCs w:val="10"/>
                  </w:rPr>
                  <w:br/>
                </w:r>
                <w:proofErr w:type="spellStart"/>
                <w:r>
                  <w:rPr>
                    <w:sz w:val="10"/>
                    <w:szCs w:val="10"/>
                  </w:rPr>
                  <w:t>Tatsuhiko</w:t>
                </w:r>
                <w:proofErr w:type="spellEnd"/>
                <w:r>
                  <w:rPr>
                    <w:sz w:val="10"/>
                    <w:szCs w:val="10"/>
                  </w:rPr>
                  <w:t xml:space="preserve"> </w:t>
                </w:r>
                <w:proofErr w:type="spellStart"/>
                <w:r>
                  <w:rPr>
                    <w:sz w:val="10"/>
                    <w:szCs w:val="10"/>
                  </w:rPr>
                  <w:t>Yasaka</w:t>
                </w:r>
                <w:proofErr w:type="spellEnd"/>
                <w:r>
                  <w:rPr>
                    <w:sz w:val="10"/>
                    <w:szCs w:val="10"/>
                  </w:rPr>
                  <w:br/>
                  <w:t>  </w:t>
                </w:r>
              </w:p>
            </w:tc>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850" w:type="pct"/>
                <w:vAlign w:val="center"/>
                <w:hideMark/>
              </w:tcPr>
              <w:p w:rsidR="006B04D3" w:rsidRDefault="00000000">
                <w:pPr>
                  <w:rPr>
                    <w:sz w:val="10"/>
                    <w:szCs w:val="10"/>
                  </w:rPr>
                </w:pPr>
                <w:r>
                  <w:rPr>
                    <w:sz w:val="10"/>
                    <w:szCs w:val="10"/>
                  </w:rPr>
                  <w:t>WEEE-Reg.-Nr. DE 88787165</w:t>
                </w:r>
                <w:r>
                  <w:rPr>
                    <w:sz w:val="10"/>
                    <w:szCs w:val="10"/>
                  </w:rPr>
                  <w:br/>
                  <w:t>USTID-NR: DE258501442</w:t>
                </w:r>
                <w:r>
                  <w:rPr>
                    <w:sz w:val="10"/>
                    <w:szCs w:val="10"/>
                  </w:rPr>
                  <w:br/>
                  <w:t>ST-NR: 106/5727/1323</w:t>
                </w:r>
                <w:r>
                  <w:rPr>
                    <w:sz w:val="10"/>
                    <w:szCs w:val="10"/>
                  </w:rPr>
                  <w:br/>
                  <w:t>  </w:t>
                </w:r>
              </w:p>
            </w:tc>
            <w:tc>
              <w:tcPr>
                <w:tcW w:w="28" w:type="dxa"/>
                <w:vAlign w:val="center"/>
                <w:hideMark/>
              </w:tcPr>
              <w:p w:rsidR="006B04D3" w:rsidRDefault="00000000">
                <w:pPr>
                  <w:rPr>
                    <w:sz w:val="10"/>
                    <w:szCs w:val="10"/>
                  </w:rPr>
                </w:pPr>
                <w:r>
                  <w:rPr>
                    <w:sz w:val="10"/>
                    <w:szCs w:val="10"/>
                  </w:rPr>
                  <w:t> </w:t>
                </w:r>
              </w:p>
            </w:tc>
          </w:tr>
        </w:tbl>
        <w:p w:rsidR="006B04D3" w:rsidRDefault="006B04D3">
          <w:pPr>
            <w:rPr>
              <w:sz w:val="10"/>
              <w:szCs w:val="10"/>
            </w:rPr>
          </w:pPr>
        </w:p>
      </w:tc>
      <w:tc>
        <w:tcPr>
          <w:tcW w:w="100" w:type="pct"/>
          <w:tcBorders>
            <w:top w:val="nil"/>
            <w:left w:val="nil"/>
            <w:bottom w:val="nil"/>
            <w:right w:val="nil"/>
          </w:tcBorders>
          <w:tcMar>
            <w:top w:w="0" w:type="dxa"/>
            <w:left w:w="0" w:type="dxa"/>
            <w:bottom w:w="0" w:type="dxa"/>
            <w:right w:w="0" w:type="dxa"/>
          </w:tcMar>
          <w:vAlign w:val="bottom"/>
        </w:tcPr>
        <w:p w:rsidR="006B04D3" w:rsidRDefault="00000000">
          <w:pPr>
            <w:rPr>
              <w:sz w:val="10"/>
              <w:szCs w:val="10"/>
            </w:rPr>
          </w:pPr>
          <w:r>
            <w:rPr>
              <w:sz w:val="10"/>
              <w:szCs w:val="10"/>
            </w:rPr>
            <w:fldChar w:fldCharType="begin"/>
          </w:r>
          <w:r>
            <w:rPr>
              <w:sz w:val="10"/>
              <w:szCs w:val="10"/>
            </w:rPr>
            <w:instrText>PAGE \* ARABIC</w:instrText>
          </w:r>
          <w:r>
            <w:rPr>
              <w:sz w:val="10"/>
              <w:szCs w:val="10"/>
            </w:rPr>
            <w:fldChar w:fldCharType="separate"/>
          </w:r>
          <w:r>
            <w:rPr>
              <w:sz w:val="10"/>
              <w:szCs w:val="10"/>
            </w:rPr>
            <w:t>#</w:t>
          </w:r>
          <w:r>
            <w:rPr>
              <w:sz w:val="10"/>
              <w:szCs w:val="10"/>
            </w:rPr>
            <w:fldChar w:fldCharType="end"/>
          </w:r>
        </w:p>
      </w:tc>
    </w:tr>
  </w:tbl>
  <w:p w:rsidR="006B04D3" w:rsidRDefault="006B04D3">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6B04D3">
      <w:tc>
        <w:tcPr>
          <w:tcW w:w="4900" w:type="pct"/>
          <w:tcBorders>
            <w:top w:val="nil"/>
            <w:left w:val="nil"/>
            <w:bottom w:val="nil"/>
            <w:right w:val="nil"/>
          </w:tcBorders>
          <w:tcMar>
            <w:top w:w="0" w:type="dxa"/>
            <w:left w:w="0" w:type="dxa"/>
            <w:bottom w:w="0" w:type="dxa"/>
            <w:right w:w="0" w:type="dxa"/>
          </w:tcMar>
          <w:vAlign w:val="bottom"/>
        </w:tcPr>
        <w:tbl>
          <w:tblPr>
            <w:tblW w:w="5000" w:type="pct"/>
            <w:tblCellSpacing w:w="0" w:type="dxa"/>
            <w:tblBorders>
              <w:top w:val="nil"/>
              <w:left w:val="nil"/>
              <w:bottom w:val="nil"/>
              <w:right w:val="nil"/>
            </w:tblBorders>
            <w:tblCellMar>
              <w:left w:w="0" w:type="dxa"/>
              <w:right w:w="0" w:type="dxa"/>
            </w:tblCellMar>
            <w:tblLook w:val="04A0" w:firstRow="1" w:lastRow="0" w:firstColumn="1" w:lastColumn="0" w:noHBand="0" w:noVBand="1"/>
          </w:tblPr>
          <w:tblGrid>
            <w:gridCol w:w="35"/>
            <w:gridCol w:w="93"/>
            <w:gridCol w:w="1590"/>
            <w:gridCol w:w="35"/>
            <w:gridCol w:w="93"/>
            <w:gridCol w:w="1590"/>
            <w:gridCol w:w="35"/>
            <w:gridCol w:w="93"/>
            <w:gridCol w:w="2151"/>
            <w:gridCol w:w="35"/>
            <w:gridCol w:w="94"/>
            <w:gridCol w:w="1965"/>
            <w:gridCol w:w="35"/>
            <w:gridCol w:w="94"/>
            <w:gridCol w:w="1591"/>
            <w:gridCol w:w="20"/>
          </w:tblGrid>
          <w:tr w:rsidR="006B04D3">
            <w:trPr>
              <w:tblCellSpacing w:w="0" w:type="dxa"/>
            </w:trPr>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850" w:type="pct"/>
                <w:vAlign w:val="center"/>
                <w:hideMark/>
              </w:tcPr>
              <w:p w:rsidR="006B04D3" w:rsidRDefault="00000000">
                <w:pPr>
                  <w:rPr>
                    <w:sz w:val="10"/>
                    <w:szCs w:val="10"/>
                  </w:rPr>
                </w:pPr>
                <w:r>
                  <w:rPr>
                    <w:b/>
                    <w:sz w:val="10"/>
                    <w:szCs w:val="10"/>
                  </w:rPr>
                  <w:t>TOTO Europe GmbH</w:t>
                </w:r>
                <w:r>
                  <w:rPr>
                    <w:b/>
                    <w:sz w:val="10"/>
                    <w:szCs w:val="10"/>
                  </w:rPr>
                  <w:br/>
                </w:r>
                <w:r>
                  <w:rPr>
                    <w:sz w:val="10"/>
                    <w:szCs w:val="10"/>
                  </w:rPr>
                  <w:t>Zollhof 2</w:t>
                </w:r>
                <w:r>
                  <w:rPr>
                    <w:sz w:val="10"/>
                    <w:szCs w:val="10"/>
                  </w:rPr>
                  <w:br/>
                  <w:t>40221 Düsseldorf</w:t>
                </w:r>
                <w:r>
                  <w:rPr>
                    <w:sz w:val="10"/>
                    <w:szCs w:val="10"/>
                  </w:rPr>
                  <w:br/>
                  <w:t>Germany</w:t>
                </w:r>
              </w:p>
            </w:tc>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850" w:type="pct"/>
                <w:vAlign w:val="center"/>
                <w:hideMark/>
              </w:tcPr>
              <w:p w:rsidR="006B04D3" w:rsidRDefault="00000000">
                <w:pPr>
                  <w:rPr>
                    <w:sz w:val="10"/>
                    <w:szCs w:val="10"/>
                  </w:rPr>
                </w:pPr>
                <w:r>
                  <w:rPr>
                    <w:sz w:val="10"/>
                    <w:szCs w:val="10"/>
                  </w:rPr>
                  <w:t>T +49 (0)211 2 73 08-200</w:t>
                </w:r>
                <w:r>
                  <w:rPr>
                    <w:sz w:val="10"/>
                    <w:szCs w:val="10"/>
                  </w:rPr>
                  <w:br/>
                  <w:t>F +49 (0)211 2 73 08-202</w:t>
                </w:r>
                <w:r>
                  <w:rPr>
                    <w:sz w:val="10"/>
                    <w:szCs w:val="10"/>
                  </w:rPr>
                  <w:br/>
                  <w:t>teu.info@toto.com</w:t>
                </w:r>
                <w:r>
                  <w:rPr>
                    <w:sz w:val="10"/>
                    <w:szCs w:val="10"/>
                  </w:rPr>
                  <w:br/>
                  <w:t>eu.toto.com</w:t>
                </w:r>
              </w:p>
            </w:tc>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1150" w:type="pct"/>
                <w:vAlign w:val="center"/>
                <w:hideMark/>
              </w:tcPr>
              <w:p w:rsidR="006B04D3" w:rsidRDefault="00000000">
                <w:pPr>
                  <w:rPr>
                    <w:sz w:val="10"/>
                    <w:szCs w:val="10"/>
                  </w:rPr>
                </w:pPr>
                <w:r>
                  <w:rPr>
                    <w:sz w:val="10"/>
                    <w:szCs w:val="10"/>
                  </w:rPr>
                  <w:t>Commerzbank AG Essen</w:t>
                </w:r>
                <w:r>
                  <w:rPr>
                    <w:sz w:val="10"/>
                    <w:szCs w:val="10"/>
                  </w:rPr>
                  <w:br/>
                  <w:t xml:space="preserve">BLZ: 360 400 </w:t>
                </w:r>
                <w:proofErr w:type="gramStart"/>
                <w:r>
                  <w:rPr>
                    <w:sz w:val="10"/>
                    <w:szCs w:val="10"/>
                  </w:rPr>
                  <w:t>39 .</w:t>
                </w:r>
                <w:proofErr w:type="gramEnd"/>
                <w:r>
                  <w:rPr>
                    <w:sz w:val="10"/>
                    <w:szCs w:val="10"/>
                  </w:rPr>
                  <w:t xml:space="preserve"> KTO: 150 6211</w:t>
                </w:r>
                <w:r>
                  <w:rPr>
                    <w:sz w:val="10"/>
                    <w:szCs w:val="10"/>
                  </w:rPr>
                  <w:br/>
                  <w:t>IBAN: DE 32 36040039 0150621100</w:t>
                </w:r>
                <w:r>
                  <w:rPr>
                    <w:sz w:val="10"/>
                    <w:szCs w:val="10"/>
                  </w:rPr>
                  <w:br/>
                  <w:t>BIC: COBADEFF360</w:t>
                </w:r>
              </w:p>
            </w:tc>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1050" w:type="pct"/>
                <w:vAlign w:val="center"/>
                <w:hideMark/>
              </w:tcPr>
              <w:p w:rsidR="006B04D3" w:rsidRDefault="00000000">
                <w:pPr>
                  <w:rPr>
                    <w:sz w:val="10"/>
                    <w:szCs w:val="10"/>
                  </w:rPr>
                </w:pPr>
                <w:r>
                  <w:rPr>
                    <w:sz w:val="10"/>
                    <w:szCs w:val="10"/>
                  </w:rPr>
                  <w:t xml:space="preserve">AG </w:t>
                </w:r>
                <w:proofErr w:type="gramStart"/>
                <w:r>
                  <w:rPr>
                    <w:sz w:val="10"/>
                    <w:szCs w:val="10"/>
                  </w:rPr>
                  <w:t>Düsseldorf .</w:t>
                </w:r>
                <w:proofErr w:type="gramEnd"/>
                <w:r>
                  <w:rPr>
                    <w:sz w:val="10"/>
                    <w:szCs w:val="10"/>
                  </w:rPr>
                  <w:t xml:space="preserve"> HRB 24827</w:t>
                </w:r>
                <w:r>
                  <w:rPr>
                    <w:sz w:val="10"/>
                    <w:szCs w:val="10"/>
                  </w:rPr>
                  <w:br/>
                  <w:t>Geschäftsführer:</w:t>
                </w:r>
                <w:r>
                  <w:rPr>
                    <w:sz w:val="10"/>
                    <w:szCs w:val="10"/>
                  </w:rPr>
                  <w:br/>
                </w:r>
                <w:proofErr w:type="spellStart"/>
                <w:r>
                  <w:rPr>
                    <w:sz w:val="10"/>
                    <w:szCs w:val="10"/>
                  </w:rPr>
                  <w:t>Tatsuhiko</w:t>
                </w:r>
                <w:proofErr w:type="spellEnd"/>
                <w:r>
                  <w:rPr>
                    <w:sz w:val="10"/>
                    <w:szCs w:val="10"/>
                  </w:rPr>
                  <w:t xml:space="preserve"> </w:t>
                </w:r>
                <w:proofErr w:type="spellStart"/>
                <w:r>
                  <w:rPr>
                    <w:sz w:val="10"/>
                    <w:szCs w:val="10"/>
                  </w:rPr>
                  <w:t>Yasaka</w:t>
                </w:r>
                <w:proofErr w:type="spellEnd"/>
                <w:r>
                  <w:rPr>
                    <w:sz w:val="10"/>
                    <w:szCs w:val="10"/>
                  </w:rPr>
                  <w:br/>
                  <w:t>  </w:t>
                </w:r>
              </w:p>
            </w:tc>
            <w:tc>
              <w:tcPr>
                <w:tcW w:w="15" w:type="dxa"/>
                <w:tcBorders>
                  <w:left w:val="single" w:sz="6" w:space="0" w:color="000000"/>
                </w:tcBorders>
                <w:shd w:val="clear" w:color="auto" w:fill="FFFFFF"/>
                <w:vAlign w:val="center"/>
                <w:hideMark/>
              </w:tcPr>
              <w:p w:rsidR="006B04D3"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6B04D3" w:rsidRDefault="00000000">
                <w:pPr>
                  <w:rPr>
                    <w:sz w:val="10"/>
                    <w:szCs w:val="10"/>
                  </w:rPr>
                </w:pPr>
                <w:r>
                  <w:rPr>
                    <w:sz w:val="10"/>
                    <w:szCs w:val="10"/>
                  </w:rPr>
                  <w:t> </w:t>
                </w:r>
              </w:p>
            </w:tc>
            <w:tc>
              <w:tcPr>
                <w:tcW w:w="850" w:type="pct"/>
                <w:vAlign w:val="center"/>
                <w:hideMark/>
              </w:tcPr>
              <w:p w:rsidR="006B04D3" w:rsidRDefault="00000000">
                <w:pPr>
                  <w:rPr>
                    <w:sz w:val="10"/>
                    <w:szCs w:val="10"/>
                  </w:rPr>
                </w:pPr>
                <w:r>
                  <w:rPr>
                    <w:sz w:val="10"/>
                    <w:szCs w:val="10"/>
                  </w:rPr>
                  <w:t>WEEE-Reg.-Nr. DE 88787165</w:t>
                </w:r>
                <w:r>
                  <w:rPr>
                    <w:sz w:val="10"/>
                    <w:szCs w:val="10"/>
                  </w:rPr>
                  <w:br/>
                  <w:t>USTID-NR: DE258501442</w:t>
                </w:r>
                <w:r>
                  <w:rPr>
                    <w:sz w:val="10"/>
                    <w:szCs w:val="10"/>
                  </w:rPr>
                  <w:br/>
                  <w:t>ST-NR: 106/5727/1323</w:t>
                </w:r>
                <w:r>
                  <w:rPr>
                    <w:sz w:val="10"/>
                    <w:szCs w:val="10"/>
                  </w:rPr>
                  <w:br/>
                  <w:t>  </w:t>
                </w:r>
              </w:p>
            </w:tc>
            <w:tc>
              <w:tcPr>
                <w:tcW w:w="28" w:type="dxa"/>
                <w:vAlign w:val="center"/>
                <w:hideMark/>
              </w:tcPr>
              <w:p w:rsidR="006B04D3" w:rsidRDefault="00000000">
                <w:pPr>
                  <w:rPr>
                    <w:sz w:val="10"/>
                    <w:szCs w:val="10"/>
                  </w:rPr>
                </w:pPr>
                <w:r>
                  <w:rPr>
                    <w:sz w:val="10"/>
                    <w:szCs w:val="10"/>
                  </w:rPr>
                  <w:t> </w:t>
                </w:r>
              </w:p>
            </w:tc>
          </w:tr>
        </w:tbl>
        <w:p w:rsidR="006B04D3" w:rsidRDefault="006B04D3">
          <w:pPr>
            <w:rPr>
              <w:sz w:val="10"/>
              <w:szCs w:val="10"/>
            </w:rPr>
          </w:pPr>
        </w:p>
      </w:tc>
      <w:tc>
        <w:tcPr>
          <w:tcW w:w="100" w:type="pct"/>
          <w:tcBorders>
            <w:top w:val="nil"/>
            <w:left w:val="nil"/>
            <w:bottom w:val="nil"/>
            <w:right w:val="nil"/>
          </w:tcBorders>
          <w:tcMar>
            <w:top w:w="0" w:type="dxa"/>
            <w:left w:w="0" w:type="dxa"/>
            <w:bottom w:w="0" w:type="dxa"/>
            <w:right w:w="0" w:type="dxa"/>
          </w:tcMar>
          <w:vAlign w:val="bottom"/>
        </w:tcPr>
        <w:p w:rsidR="006B04D3" w:rsidRDefault="006B04D3">
          <w:pPr>
            <w:rPr>
              <w:sz w:val="10"/>
              <w:szCs w:val="10"/>
            </w:rPr>
          </w:pPr>
        </w:p>
      </w:tc>
    </w:tr>
  </w:tbl>
  <w:p w:rsidR="006B04D3" w:rsidRDefault="006B04D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803" w:rsidRDefault="00C24803">
      <w:pPr>
        <w:spacing w:line="240" w:lineRule="auto"/>
      </w:pPr>
      <w:r>
        <w:separator/>
      </w:r>
    </w:p>
  </w:footnote>
  <w:footnote w:type="continuationSeparator" w:id="0">
    <w:p w:rsidR="00C24803" w:rsidRDefault="00C248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4D3" w:rsidRDefault="00000000">
    <w:r>
      <w:rPr>
        <w:noProof/>
      </w:rPr>
      <w:drawing>
        <wp:anchor distT="0" distB="0" distL="114300" distR="114300" simplePos="0" relativeHeight="251659264" behindDoc="0" locked="0" layoutInCell="0" allowOverlap="0">
          <wp:simplePos x="0" y="0"/>
          <wp:positionH relativeFrom="page">
            <wp:posOffset>5723890</wp:posOffset>
          </wp:positionH>
          <wp:positionV relativeFrom="page">
            <wp:posOffset>396240</wp:posOffset>
          </wp:positionV>
          <wp:extent cx="1368425" cy="31813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368425" cy="318135"/>
                  </a:xfrm>
                  <a:prstGeom prst="rect">
                    <a:avLst/>
                  </a:prstGeom>
                </pic:spPr>
              </pic:pic>
            </a:graphicData>
          </a:graphic>
        </wp:anchor>
      </w:drawing>
    </w:r>
    <w:r>
      <w:rPr>
        <w:rFonts w:eastAsia="Arial"/>
        <w:b/>
        <w:sz w:val="24"/>
        <w:szCs w:val="24"/>
      </w:rPr>
      <w:t>Presse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4D3" w:rsidRDefault="00000000">
    <w:pPr>
      <w:rPr>
        <w:color w:val="343434"/>
      </w:rPr>
    </w:pPr>
    <w:r>
      <w:rPr>
        <w:noProof/>
        <w:color w:val="343434"/>
      </w:rPr>
      <w:drawing>
        <wp:anchor distT="0" distB="0" distL="114300" distR="114300" simplePos="0" relativeHeight="251658240" behindDoc="0" locked="0" layoutInCell="0" allowOverlap="0">
          <wp:simplePos x="0" y="0"/>
          <wp:positionH relativeFrom="page">
            <wp:posOffset>5544185</wp:posOffset>
          </wp:positionH>
          <wp:positionV relativeFrom="page">
            <wp:posOffset>396240</wp:posOffset>
          </wp:positionV>
          <wp:extent cx="1368425" cy="31813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368425" cy="318135"/>
                  </a:xfrm>
                  <a:prstGeom prst="rect">
                    <a:avLst/>
                  </a:prstGeom>
                </pic:spPr>
              </pic:pic>
            </a:graphicData>
          </a:graphic>
        </wp:anchor>
      </w:drawing>
    </w:r>
    <w:r>
      <w:rPr>
        <w:rFonts w:eastAsia="Arial"/>
        <w:b/>
        <w:color w:val="343434"/>
        <w:sz w:val="24"/>
        <w:szCs w:val="24"/>
      </w:rPr>
      <w:t>Presse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B04D3"/>
    <w:rsid w:val="004E0475"/>
    <w:rsid w:val="006B04D3"/>
    <w:rsid w:val="00C24803"/>
    <w:rsid w:val="00FF01F7"/>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213E0E5"/>
  <w15:docId w15:val="{C3E18434-F9F6-F641-8766-65292C28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sz w:val="22"/>
        <w:szCs w:val="22"/>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sciencebasedtargets.org/" TargetMode="External"/><Relationship Id="rId7" Type="http://schemas.openxmlformats.org/officeDocument/2006/relationships/hyperlink" Target="https://eu.toto.com/de" TargetMode="Externa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0.jpg"/><Relationship Id="rId20" Type="http://schemas.openxmlformats.org/officeDocument/2006/relationships/hyperlink" Target="https://www.there100.org/"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jpg"/><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1443</Words>
  <Characters>9096</Characters>
  <Application>Microsoft Office Word</Application>
  <DocSecurity>0</DocSecurity>
  <Lines>75</Lines>
  <Paragraphs>21</Paragraphs>
  <ScaleCrop>false</ScaleCrop>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Bettina Wassermann</cp:lastModifiedBy>
  <cp:revision>2</cp:revision>
  <dcterms:created xsi:type="dcterms:W3CDTF">2026-04-24T11:24:00Z</dcterms:created>
  <dcterms:modified xsi:type="dcterms:W3CDTF">2026-04-24T11:26:00Z</dcterms:modified>
</cp:coreProperties>
</file>