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docProps/core.xml" ContentType="application/vnd.openxmlformats-package.core-properties+xml"/>
  <Override PartName="/docProps/app.xml" ContentType="application/vnd.openxmlformats-officedocument.extended-properti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Types>
</file>

<file path=_rels/.rels>&#65279;<?xml version="1.0" encoding="utf-8"?><Relationships xmlns="http://schemas.openxmlformats.org/package/2006/relationships"><Relationship Id="R1" Type="http://schemas.openxmlformats.org/officeDocument/2006/relationships/officeDocument" Target="/word/document.xml" /><Relationship Id="coreR1" Type="http://schemas.openxmlformats.org/package/2006/relationships/metadata/core-properties" Target="/docProps/core.xml" /><Relationship Id="appR1" Type="http://schemas.openxmlformats.org/officeDocument/2006/relationships/extended-properties" Target="/docProps/app.xml" /></Relationships>
</file>

<file path=word/document.xml><?xml version="1.0" encoding="utf-8"?>
<w:document xmlns:w="http://schemas.openxmlformats.org/wordprocessingml/2006/main" xmlns:r="http://schemas.openxmlformats.org/officeDocument/2006/relationships" xmlns:wps="http://schemas.microsoft.com/office/word/2010/wordprocessingShape" xmlns:mc="http://schemas.openxmlformats.org/markup-compatibility/2006" xmlns:w10="urn:schemas-microsoft-com:office:word" xmlns:v="urn:schemas-microsoft-com:vml" xmlns:wp14="http://schemas.microsoft.com/office/word/2010/wordprocessingDrawing" xmlns:wpg="http://schemas.microsoft.com/office/word/2010/wordprocessingGroup" xmlns:wpc="http://schemas.microsoft.com/office/word/2010/wordprocessingCanvas" xmlns:w14="http://schemas.microsoft.com/office/word/2010/wordml" xmlns:w15="http://schemas.microsoft.com/office/word/2012/wordml" xmlns:cx1="http://schemas.microsoft.com/office/drawing/2015/9/8/chartex" xmlns:cx2="http://schemas.microsoft.com/office/drawing/2015/10/21/chartex" mc:Ignorable="wp14 w14 w15">
  <w:body>
    <w:p>
      <w:pPr>
        <w:spacing w:lineRule="auto" w:line="288"/>
        <w:jc w:val="left"/>
        <w:rPr>
          <w:rFonts w:ascii="Arial" w:hAnsi="Arial" w:cs="Arial"/>
          <w:b w:val="1"/>
          <w:bCs w:val="1"/>
          <w:color w:val="000000"/>
          <w:sz w:val="32"/>
          <w:szCs w:val="32"/>
        </w:rPr>
      </w:pPr>
      <w:r>
        <w:rPr>
          <w:rFonts w:ascii="Arial" w:hAnsi="Arial" w:cs="Arial"/>
          <w:b w:val="1"/>
          <w:bCs w:val="1"/>
          <w:color w:val="000000"/>
          <w:sz w:val="32"/>
          <w:szCs w:val="32"/>
        </w:rPr>
        <w:t>Für wirklich alle</w:t>
      </w:r>
    </w:p>
    <w:tbl>
      <w:tblPr>
        <w:tblStyle w:val="T1"/>
        <w:tblW w:w="5000" w:type="pct"/>
        <w:jc w:val="left"/>
        <w:tblLayout w:type="fixed"/>
        <w:tblCellMar>
          <w:top w:w="0" w:type="dxa"/>
          <w:left w:w="0" w:type="dxa"/>
          <w:bottom w:w="0" w:type="dxa"/>
          <w:right w:w="227" w:type="dxa"/>
        </w:tblCellMar>
        <w:tblLook w:val="04A0"/>
      </w:tblPr>
      <w:tblGrid>
        <w:gridCol w:w="2736"/>
        <w:gridCol w:w="2736"/>
        <w:gridCol w:w="1728"/>
      </w:tblGrid>
      <w:tr>
        <w:tc>
          <w:tcPr>
            <w:tcW w:w="3800" w:type="pct"/>
            <w:gridSpan w:val="2"/>
            <w:tcBorders>
              <w:top w:val="nil"/>
              <w:left w:val="nil"/>
              <w:bottom w:val="nil"/>
              <w:right w:val="nil"/>
            </w:tcBorders>
            <w:shd w:val="clear" w:color="auto" w:fill="auto"/>
            <w:tcMar>
              <w:top w:w="0" w:type="dxa"/>
              <w:left w:w="0" w:type="dxa"/>
              <w:bottom w:w="0" w:type="dxa"/>
              <w:right w:w="227" w:type="dxa"/>
            </w:tcMar>
          </w:tcPr>
          <w:p>
            <w:pPr>
              <w:spacing w:lineRule="auto" w:line="288" w:before="0"/>
              <w:ind w:firstLine="0"/>
              <w:jc w:val="left"/>
              <w:rPr>
                <w:rFonts w:ascii="Arial" w:hAnsi="Arial" w:cs="Arial"/>
                <w:color w:val="000000"/>
                <w:sz w:val="22"/>
                <w:szCs w:val="22"/>
              </w:rPr>
            </w:pPr>
            <w:r>
              <w:rPr>
                <w:rFonts w:ascii="Arial" w:hAnsi="Arial" w:cs="Arial" w:eastAsia="Arial"/>
                <w:color w:val="000000"/>
                <w:sz w:val="22"/>
                <w:szCs w:val="22"/>
              </w:rPr>
              <w:t>Der japanische Sanitärexperte TOTO entwickelt Sanitärlösungen, die durch universelles Design für alle Menschen zugänglich, komfortabel und einfach zu bedienen sind.</w:t>
            </w:r>
          </w:p>
        </w:tc>
        <w:tc>
          <w:tcPr>
            <w:tcW w:w="1200" w:type="pct"/>
            <w:tcBorders>
              <w:top w:val="nil"/>
              <w:left w:val="nil"/>
              <w:bottom w:val="nil"/>
              <w:right w:val="nil"/>
            </w:tcBorders>
            <w:shd w:val="clear" w:color="auto" w:fill="auto"/>
            <w:tcMar>
              <w:top w:w="0" w:type="dxa"/>
              <w:left w:w="0" w:type="dxa"/>
              <w:bottom w:w="0" w:type="dxa"/>
              <w:right w:w="227" w:type="dxa"/>
            </w:tcMar>
          </w:tcPr>
          <w:p>
            <w:pPr>
              <w:spacing w:lineRule="auto" w:line="288" w:before="0"/>
              <w:ind w:firstLine="0"/>
              <w:jc w:val="left"/>
              <w:rPr>
                <w:rFonts w:ascii="Arial" w:hAnsi="Arial" w:cs="Arial"/>
                <w:color w:val="000000"/>
                <w:sz w:val="22"/>
                <w:szCs w:val="22"/>
              </w:rPr>
            </w:pPr>
          </w:p>
        </w:tc>
      </w:tr>
      <w:tr>
        <w:tblPrEx>
          <w:tblLook w:val="04A0"/>
        </w:tblPrEx>
        <w:trPr>
          <w:gridAfter w:val="1"/>
        </w:trPr>
        <w:tc>
          <w:tcPr>
            <w:tcW w:w="0" w:type="auto"/>
            <w:tcBorders>
              <w:top w:val="nil"/>
              <w:left w:val="nil"/>
              <w:bottom w:val="nil"/>
              <w:right w:val="nil"/>
            </w:tcBorders>
            <w:shd w:val="clear" w:color="auto" w:fill="auto"/>
            <w:tcMar>
              <w:top w:w="0" w:type="dxa"/>
              <w:left w:w="0" w:type="dxa"/>
              <w:bottom w:w="0" w:type="dxa"/>
              <w:right w:w="227" w:type="dxa"/>
            </w:tcMar>
          </w:tcPr>
          <w:p>
            <w:pPr>
              <w:spacing w:lineRule="auto" w:line="288"/>
              <w:ind w:firstLine="0"/>
              <w:jc w:val="left"/>
              <w:rPr>
                <w:rFonts w:ascii="Arial" w:hAnsi="Arial" w:cs="Arial"/>
                <w:color w:val="000000"/>
                <w:sz w:val="22"/>
                <w:szCs w:val="22"/>
              </w:rPr>
            </w:pPr>
          </w:p>
        </w:tc>
        <w:tc>
          <w:tcPr>
            <w:tcW w:w="0" w:type="auto"/>
            <w:tcBorders>
              <w:top w:val="nil"/>
              <w:left w:val="nil"/>
              <w:bottom w:val="nil"/>
              <w:right w:val="nil"/>
            </w:tcBorders>
            <w:shd w:val="clear" w:color="auto" w:fill="auto"/>
            <w:tcMar>
              <w:top w:w="0" w:type="dxa"/>
              <w:left w:w="0" w:type="dxa"/>
              <w:bottom w:w="0" w:type="dxa"/>
              <w:right w:w="227" w:type="dxa"/>
            </w:tcMar>
          </w:tcPr>
          <w:p>
            <w:pPr>
              <w:spacing w:lineRule="auto" w:line="288"/>
              <w:ind w:firstLine="0"/>
              <w:jc w:val="left"/>
              <w:rPr>
                <w:rFonts w:ascii="Arial" w:hAnsi="Arial" w:cs="Arial"/>
                <w:color w:val="000000"/>
                <w:sz w:val="22"/>
                <w:szCs w:val="22"/>
              </w:rPr>
            </w:pPr>
          </w:p>
        </w:tc>
      </w:tr>
    </w:tbl>
    <w:p>
      <w:pPr>
        <w:spacing w:lineRule="auto" w:line="288"/>
        <w:jc w:val="left"/>
        <w:rPr>
          <w:rFonts w:ascii="Arial" w:hAnsi="Arial" w:cs="Arial"/>
          <w:color w:val="000000"/>
          <w:sz w:val="8"/>
          <w:szCs w:val="8"/>
        </w:rPr>
      </w:pPr>
      <w:r>
        <w:rPr>
          <w:rFonts w:ascii="Arial" w:hAnsi="Arial" w:cs="Arial"/>
          <w:color w:val="000000"/>
          <w:sz w:val="8"/>
          <w:szCs w:val="8"/>
        </w:rPr>
        <w:br w:type="textWrapping"/>
      </w:r>
    </w:p>
    <w:tbl>
      <w:tblPr>
        <w:tblStyle w:val="T1"/>
        <w:tblW w:w="5000" w:type="pct"/>
        <w:jc w:val="center"/>
        <w:tblLayout w:type="fixed"/>
        <w:tblCellMar>
          <w:top w:w="0" w:type="dxa"/>
          <w:left w:w="0" w:type="dxa"/>
          <w:bottom w:w="0" w:type="dxa"/>
          <w:right w:w="227" w:type="dxa"/>
        </w:tblCellMar>
        <w:tblLook w:val="04A0"/>
      </w:tblPr>
      <w:tblGrid>
        <w:gridCol w:w="7200"/>
      </w:tblGrid>
      <w:tr>
        <w:tc>
          <w:tcPr>
            <w:tcW w:w="5000" w:type="pct"/>
            <w:tcBorders>
              <w:top w:val="nil"/>
              <w:left w:val="nil"/>
              <w:bottom w:val="nil"/>
              <w:right w:val="nil"/>
            </w:tcBorders>
            <w:shd w:val="clear" w:color="auto" w:fill="auto"/>
            <w:tcMar>
              <w:top w:w="0" w:type="dxa"/>
              <w:left w:w="0" w:type="dxa"/>
              <w:bottom w:w="0" w:type="dxa"/>
              <w:right w:w="227" w:type="dxa"/>
            </w:tcMar>
          </w:tcPr>
          <w:p>
            <w:pPr>
              <w:spacing w:lineRule="auto" w:line="288"/>
              <w:jc w:val="left"/>
              <w:rPr>
                <w:rFonts w:ascii="Arial" w:hAnsi="Arial" w:cs="Arial"/>
                <w:color w:val="000000"/>
                <w:sz w:val="18"/>
                <w:szCs w:val="18"/>
              </w:rPr>
            </w:pPr>
            <w:r>
              <w:rPr>
                <w:rFonts w:ascii="Arial" w:hAnsi="Arial" w:cs="Arial"/>
                <w:color w:val="000000"/>
                <w:sz w:val="18"/>
                <w:szCs w:val="18"/>
              </w:rPr>
              <w:drawing>
                <wp:inline xmlns:wp="http://schemas.openxmlformats.org/drawingml/2006/wordprocessingDrawing" distT="0" distB="0" distL="0" distR="0">
                  <wp:extent cx="3995420" cy="2663825"/>
                  <wp:effectExtent l="0" t="0" r="0" b="0"/>
                  <wp:docPr id="3"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dpi="0">
                          <a:blip xmlns:r="http://schemas.openxmlformats.org/officeDocument/2006/relationships" r:embed="Relimage1"/>
                          <a:srcRect/>
                          <a:stretch>
                            <a:fillRect/>
                          </a:stretch>
                        </pic:blipFill>
                        <pic:spPr>
                          <a:xfrm>
                            <a:off x="0" y="0"/>
                            <a:ext cx="3995420" cy="2663825"/>
                          </a:xfrm>
                          <a:prstGeom prst="rect"/>
                        </pic:spPr>
                      </pic:pic>
                    </a:graphicData>
                  </a:graphic>
                </wp:inline>
              </w:drawing>
            </w:r>
          </w:p>
        </w:tc>
      </w:tr>
    </w:tbl>
    <w:p>
      <w:pPr>
        <w:spacing w:lineRule="auto" w:line="288"/>
        <w:jc w:val="left"/>
        <w:rPr>
          <w:rFonts w:ascii="Arial" w:hAnsi="Arial" w:cs="Arial"/>
          <w:color w:val="000000"/>
          <w:sz w:val="8"/>
          <w:szCs w:val="8"/>
        </w:rPr>
      </w:pPr>
      <w:r>
        <w:rPr>
          <w:rFonts w:ascii="Arial" w:hAnsi="Arial" w:cs="Arial"/>
          <w:color w:val="000000"/>
          <w:sz w:val="8"/>
          <w:szCs w:val="8"/>
        </w:rPr>
        <w:br w:type="textWrapping"/>
      </w:r>
    </w:p>
    <w:tbl>
      <w:tblPr>
        <w:tblStyle w:val="T1"/>
        <w:tblW w:w="5000" w:type="pct"/>
        <w:jc w:val="left"/>
        <w:tblLayout w:type="fixed"/>
        <w:tblCellMar>
          <w:top w:w="0" w:type="dxa"/>
          <w:left w:w="0" w:type="dxa"/>
          <w:bottom w:w="0" w:type="dxa"/>
          <w:right w:w="227" w:type="dxa"/>
        </w:tblCellMar>
        <w:tblLook w:val="04A0"/>
      </w:tblPr>
      <w:tblGrid>
        <w:gridCol w:w="5472"/>
        <w:gridCol w:w="1728"/>
      </w:tblGrid>
      <w:tr>
        <w:tc>
          <w:tcPr>
            <w:tcW w:w="3800" w:type="pct"/>
            <w:tcBorders>
              <w:top w:val="nil"/>
              <w:left w:val="nil"/>
              <w:bottom w:val="nil"/>
              <w:right w:val="nil"/>
            </w:tcBorders>
            <w:shd w:val="clear" w:color="auto" w:fill="auto"/>
            <w:tcMar>
              <w:top w:w="0" w:type="dxa"/>
              <w:left w:w="0" w:type="dxa"/>
              <w:bottom w:w="0" w:type="dxa"/>
              <w:right w:w="227" w:type="dxa"/>
            </w:tcMar>
          </w:tcPr>
          <w:p>
            <w:pPr>
              <w:spacing w:lineRule="auto" w:line="288" w:before="0" w:after="240"/>
              <w:ind w:firstLine="0" w:left="0" w:right="0"/>
              <w:jc w:val="left"/>
              <w:rPr>
                <w:rFonts w:ascii="Arial" w:hAnsi="Arial" w:cs="Arial"/>
                <w:color w:val="000000"/>
                <w:sz w:val="20"/>
                <w:szCs w:val="20"/>
              </w:rPr>
            </w:pPr>
            <w:r>
              <w:rPr>
                <w:rFonts w:ascii="Arial" w:hAnsi="Arial" w:cs="Arial"/>
                <w:i w:val="1"/>
                <w:color w:val="000000"/>
                <w:sz w:val="20"/>
                <w:szCs w:val="20"/>
              </w:rPr>
              <w:t>Universal Design (UD) bedeutet, Produkte und Räume so zu gestalten, dass sie allen Menschen dienen – unabhängig von Alter, Geschlecht, körperlichen Fähigkeiten oder individuellen gesundheitlichen Bedürfnissen. TOTO verfolgt diesen Ansatz seit Jahrzehnten und hat ihn nun im eigenen Universal Design Studio systematisiert. Dort entsteht Gestaltung, die sich an realen Nutzungssituationen orientiert und weit über technische Normen hinausgeht. Anhand folgender Beispiele wird sichtbar, wie dieser Anspruch im Alltag einer vielfältigen Gesellschaft wirksam wird und welche Rolle konsequente Nutzerorientierung bei der Planung moderner Sanitärräume spielt.</w:t>
            </w:r>
          </w:p>
          <w:p>
            <w:pPr>
              <w:spacing w:lineRule="auto" w:line="288" w:before="0" w:after="240"/>
              <w:ind w:firstLine="0" w:left="0" w:right="0"/>
              <w:jc w:val="left"/>
              <w:rPr>
                <w:rFonts w:ascii="Arial" w:hAnsi="Arial" w:cs="Arial"/>
                <w:color w:val="000000"/>
                <w:sz w:val="20"/>
                <w:szCs w:val="20"/>
              </w:rPr>
            </w:pPr>
            <w:r>
              <w:rPr>
                <w:rFonts w:ascii="Arial" w:hAnsi="Arial" w:cs="Arial"/>
                <w:color w:val="000000"/>
                <w:sz w:val="20"/>
                <w:szCs w:val="20"/>
              </w:rPr>
              <w:t>TOTO stellt den Menschen ins Zentrum jedes Gestaltungsschritts. Im Universal Design Studio arbeiten Fachleute aus Design, Architektur, Technik, Produktentwicklung und Anthropometrie – der Lehre von den Maßen des menschlichen Körpers – eng zusammen, um Produkte und Räume für möglichst viele Menschen zugänglich und benutzerfreundlich zu gestalten. Entscheidungen basieren nicht auf Annahmen, sondern auf Tests mit Nutzerinnen und Nutzern mit unterschiedlichsten Bedürfnissen. Sie prüfen, ob Orientierung, Bedienlogik, Bewegungsabläufe und Sicherheitsaspekte stimmig sind. Dieses Verfahren stellt sicher, dass Produkte und Raumkonzepte in alltäglichen Situationen funktionieren – im Privatbad ebenso wie in hochfrequentierten öffentlichen Bereichen.</w:t>
            </w:r>
          </w:p>
          <w:p>
            <w:pPr>
              <w:spacing w:lineRule="auto" w:line="288" w:before="0" w:after="240"/>
              <w:ind w:firstLine="0" w:left="0" w:right="0"/>
              <w:jc w:val="left"/>
              <w:rPr>
                <w:rFonts w:ascii="Arial" w:hAnsi="Arial" w:cs="Arial"/>
                <w:color w:val="000000"/>
                <w:sz w:val="20"/>
                <w:szCs w:val="20"/>
              </w:rPr>
            </w:pPr>
            <w:r>
              <w:rPr>
                <w:rFonts w:ascii="Arial" w:hAnsi="Arial" w:cs="Arial"/>
                <w:b w:val="1"/>
                <w:color w:val="000000"/>
                <w:sz w:val="20"/>
                <w:szCs w:val="20"/>
              </w:rPr>
              <w:t>Die Bedürfnisse aller im Blick</w:t>
            </w:r>
          </w:p>
          <w:p>
            <w:pPr>
              <w:spacing w:lineRule="auto" w:line="288" w:before="0" w:after="240"/>
              <w:ind w:firstLine="0" w:left="0" w:right="0"/>
              <w:jc w:val="left"/>
              <w:rPr>
                <w:rFonts w:ascii="Arial" w:hAnsi="Arial" w:cs="Arial"/>
                <w:color w:val="000000"/>
                <w:sz w:val="20"/>
                <w:szCs w:val="20"/>
              </w:rPr>
            </w:pPr>
            <w:r>
              <w:rPr>
                <w:rFonts w:ascii="Arial" w:hAnsi="Arial" w:cs="Arial"/>
                <w:color w:val="000000"/>
                <w:sz w:val="20"/>
                <w:szCs w:val="20"/>
              </w:rPr>
              <w:t>Seit den 1960er-Jahren entwickelt TOTO Sanitärlösungen mit besonderem Fokus auf die Anforderungen von Menschen mit Einschränkungen. Dieser langjährige Erfahrungsschatz prägt die heutige Arbeit ebenso wie der Leitgedanke des Gründers, wonach Freundlichkeit und Respekt den Ausgangspunkt jeder Innovation bilden. Darauf aufbauend analysiert TOTO die spezifischen Bedürfnisse unterschiedlicher Nutzergruppen – von älteren Menschen und Eltern mit Kleinkindern über Personen verschiedener Geschlechtsidentität bis hin zu Menschen mit Behinderungen oder Stomapatientinnen und -patienten – und übersetzt diese in konkrete Gestaltungsempfehlungen. „Universal Design ist kein Nischenthema, sondern eine zentrale Planungsaufgabe unserer Zeit. Gerade im Bad zeigt sich, wie sehr gute Gestaltung über Komfort, Selbstständigkeit und Würde entscheidet – im privaten wie im öffentlichen Raum,“ fasst Matthias Kortenhorn, Verkaufsleiter Nord-West Deutschland &amp; Senior Sales Manager bei TOTO Europe, zusammen. In einer Gesellschaft, die durch demografische Veränderungen und eine steigende Lebenserwartung geprägt ist, gewinnt die konsequente Umsetzung von Universal Design zunehmend an Relevanz – in Japan ebenso wie in Deutschland.</w:t>
            </w:r>
          </w:p>
          <w:p>
            <w:pPr>
              <w:spacing w:lineRule="auto" w:line="288" w:before="0" w:after="240"/>
              <w:ind w:firstLine="0" w:left="0" w:right="0"/>
              <w:jc w:val="left"/>
              <w:rPr>
                <w:rFonts w:ascii="Arial" w:hAnsi="Arial" w:cs="Arial"/>
                <w:color w:val="000000"/>
                <w:sz w:val="20"/>
                <w:szCs w:val="20"/>
              </w:rPr>
            </w:pPr>
            <w:r>
              <w:rPr>
                <w:rFonts w:ascii="Arial" w:hAnsi="Arial" w:cs="Arial"/>
                <w:b w:val="1"/>
                <w:color w:val="000000"/>
                <w:sz w:val="20"/>
                <w:szCs w:val="20"/>
              </w:rPr>
              <w:t>Tokyo Toilet Project – öffentliche Toiletten als urbane Ikonen</w:t>
            </w:r>
          </w:p>
          <w:p>
            <w:pPr>
              <w:spacing w:lineRule="auto" w:line="288" w:before="0" w:after="240"/>
              <w:ind w:firstLine="0" w:left="0" w:right="0"/>
              <w:jc w:val="left"/>
              <w:rPr>
                <w:rFonts w:ascii="Arial" w:hAnsi="Arial" w:cs="Arial"/>
                <w:color w:val="000000"/>
                <w:sz w:val="20"/>
                <w:szCs w:val="20"/>
              </w:rPr>
            </w:pPr>
            <w:r>
              <w:rPr>
                <w:rFonts w:ascii="Arial" w:hAnsi="Arial" w:cs="Arial"/>
                <w:color w:val="000000"/>
                <w:sz w:val="20"/>
                <w:szCs w:val="20"/>
              </w:rPr>
              <w:t>Im Tokioter Bezirk Shibuya entstand von 2020 bis 2024 mit dem Tokyo Toilet Project ein Ansatz, der öffentliche Toiletten bewusst neu interpretiert und gekonnt inszeniert. Das mittlerweile weltbekannte Stadterneuerungsprojekt umfasst 17 Standorte, an denen 16 internationale Stararchitektinnen und -architekten – darunter die Pritzker-Preisträger Tadao Ando, Toyo Ito und Shigeru Ban – jeweils ein bzw. zwei Toilettenhäuser für die Öffentlichkeit entworfen haben. Sie entwickelten jeweils eigenständige Konzepte, die funktionale Infrastruktur mit architektonischer Ausdruckskraft verbinden.</w:t>
            </w:r>
          </w:p>
          <w:p>
            <w:pPr>
              <w:spacing w:lineRule="auto" w:line="288" w:before="0" w:after="240"/>
              <w:ind w:firstLine="0" w:left="0" w:right="0"/>
              <w:jc w:val="left"/>
              <w:rPr>
                <w:rFonts w:ascii="Arial" w:hAnsi="Arial" w:cs="Arial"/>
                <w:color w:val="000000"/>
                <w:sz w:val="20"/>
                <w:szCs w:val="20"/>
              </w:rPr>
            </w:pPr>
            <w:r>
              <w:rPr>
                <w:rFonts w:ascii="Arial" w:hAnsi="Arial" w:cs="Arial"/>
                <w:color w:val="000000"/>
                <w:sz w:val="20"/>
                <w:szCs w:val="20"/>
              </w:rPr>
              <w:t>TOTO begleitete die Initiative der Nippon Foundation als Berater und Ausstatter der sanitären Einrichtungen und brachte sein Know-how im Universal Design ein. Ziel aller Beteiligten war es, öffentliche Toiletten nicht nur hygienischer, sondern grundlegend attraktiver zu machen, zu einem Ort, der selbstverständlich, sicher und vor allem von jedem Menschen gern genutzt wird. Jede Toilette ist individuell ausgestattet und architektonisch unverwechselbar – ein Zusammenspiel aus Funktionalität, Orientierung und einem Universal-Design-Verständnis, das sich konsequent an realen Bedürfnissen orientiert.</w:t>
            </w:r>
          </w:p>
          <w:p>
            <w:pPr>
              <w:spacing w:lineRule="auto" w:line="288" w:before="0" w:after="240"/>
              <w:ind w:firstLine="0" w:left="0" w:right="0"/>
              <w:jc w:val="left"/>
              <w:rPr>
                <w:rFonts w:ascii="Arial" w:hAnsi="Arial" w:cs="Arial"/>
                <w:color w:val="000000"/>
                <w:sz w:val="20"/>
                <w:szCs w:val="20"/>
              </w:rPr>
            </w:pPr>
            <w:r>
              <w:rPr>
                <w:rFonts w:ascii="Arial" w:hAnsi="Arial" w:cs="Arial"/>
                <w:b w:val="1"/>
                <w:color w:val="000000"/>
                <w:sz w:val="20"/>
                <w:szCs w:val="20"/>
              </w:rPr>
              <w:t>Osaka Healthcare Pavillon auf der Expo 2025 – die Toilette der Zukunft</w:t>
            </w:r>
          </w:p>
          <w:p>
            <w:pPr>
              <w:spacing w:lineRule="auto" w:line="288" w:before="0" w:after="240"/>
              <w:ind w:firstLine="0" w:left="0" w:right="0"/>
              <w:jc w:val="left"/>
              <w:rPr>
                <w:rFonts w:ascii="Arial" w:hAnsi="Arial" w:cs="Arial"/>
                <w:color w:val="000000"/>
                <w:sz w:val="20"/>
                <w:szCs w:val="20"/>
              </w:rPr>
            </w:pPr>
            <w:r>
              <w:rPr>
                <w:rFonts w:ascii="Arial" w:hAnsi="Arial" w:cs="Arial"/>
                <w:color w:val="000000"/>
                <w:sz w:val="20"/>
                <w:szCs w:val="20"/>
              </w:rPr>
              <w:t>Auf der Expo 2025 schuf der Osaka Healthcare Pavillon ein gesteigertes Bewusstsein für ganzheitliche Gesundheit. Besucherinnen und Besucher konnten an unterschiedlichen Erlebnisstationen Technologien und Konzepte entdecken, die Ernährung, Körper, Geist und die Integration persönlicher Gesundheitsdaten miteinander vernetzten.</w:t>
            </w:r>
          </w:p>
          <w:p>
            <w:pPr>
              <w:spacing w:lineRule="auto" w:line="288" w:before="0" w:after="240"/>
              <w:ind w:firstLine="0" w:left="0" w:right="0"/>
              <w:jc w:val="left"/>
              <w:rPr>
                <w:rFonts w:ascii="Arial" w:hAnsi="Arial" w:cs="Arial"/>
                <w:color w:val="000000"/>
                <w:sz w:val="20"/>
                <w:szCs w:val="20"/>
              </w:rPr>
            </w:pPr>
            <w:r>
              <w:rPr>
                <w:rFonts w:ascii="Arial" w:hAnsi="Arial" w:cs="Arial"/>
                <w:color w:val="000000"/>
                <w:sz w:val="20"/>
                <w:szCs w:val="20"/>
              </w:rPr>
              <w:t>In dieses Gesamtkonzept waren auch die barrierefreien Sanitärräume integriert, die TOTO als offizieller Partner der Expo 2025 bereitgestellt und konzipiert hatte. Für die Entwicklung arbeitete TOTO eng mit 22 „Problemsuchern“ zusammen – Menschen mit unterschiedlichen Einschränkungen, die ihre Erfahrungen einbrachten, um die Nutzung öffentlicher Toiletten zu verbessern. Im TOTO Technical Center wurden Ausstattung und Raumaufteilung praxisnah getestet und anhand maßstabsgetreuer Modelle optimiert. Das Ergebnis ist eine Toilette der Zukunft, die nicht nur funktional, sondern sozial inklusiv ist und allen Nutzerinnen und Nutzern ein Gefühl von Respekt und Willkommen sein vermittelt.</w:t>
            </w:r>
          </w:p>
          <w:p>
            <w:pPr>
              <w:spacing w:lineRule="auto" w:line="288" w:before="0" w:after="240"/>
              <w:ind w:firstLine="0" w:left="0" w:right="0"/>
              <w:jc w:val="left"/>
              <w:rPr>
                <w:rFonts w:ascii="Arial" w:hAnsi="Arial" w:cs="Arial"/>
                <w:color w:val="000000"/>
                <w:sz w:val="20"/>
                <w:szCs w:val="20"/>
              </w:rPr>
            </w:pPr>
            <w:r>
              <w:rPr>
                <w:rFonts w:ascii="Arial" w:hAnsi="Arial" w:cs="Arial"/>
                <w:b w:val="1"/>
                <w:color w:val="000000"/>
                <w:sz w:val="20"/>
                <w:szCs w:val="20"/>
              </w:rPr>
              <w:t>Miyajima Omotenashi Toilet – barrierefreie Gastfreundschaft</w:t>
            </w:r>
          </w:p>
          <w:p>
            <w:pPr>
              <w:spacing w:lineRule="auto" w:line="288" w:before="0" w:after="240"/>
              <w:ind w:firstLine="0" w:left="0" w:right="0"/>
              <w:jc w:val="left"/>
              <w:rPr>
                <w:rFonts w:ascii="Arial" w:hAnsi="Arial" w:cs="Arial"/>
                <w:color w:val="000000"/>
                <w:sz w:val="20"/>
                <w:szCs w:val="20"/>
              </w:rPr>
            </w:pPr>
            <w:r>
              <w:rPr>
                <w:rFonts w:ascii="Arial" w:hAnsi="Arial" w:cs="Arial"/>
                <w:color w:val="000000"/>
                <w:sz w:val="20"/>
                <w:szCs w:val="20"/>
              </w:rPr>
              <w:t>Auf der japanischen Insel Miyajima, nur wenige Schritte vom berühmten Itsukushima-Schrein entfernt, entstand die Miyajima Omotenashi Toilet. Der öffentlich zugängliche Sanitärraum vereint Komfort, Orientierung und Ästhetik. Großzügige Bewegungsflächen ermöglichen Menschen mit Rollstuhl und deren Begleitpersonen genügend Platz, während klar strukturierte, leicht verständliche Bedienelemente für alle intuitiv nutzbar sind. Die Gestaltung setzt auf warme Materialien, angenehme Lichtführung und eine einladende Atmosphäre, sodass der Raum mehr ist als eine funktionale öffentliche Toilette. Er wird zu einem Ort, an dem sich Besucherinnen und Besucher willkommen fühlen und die Philosophie des UD von TOTO ganz real erleben können.</w:t>
            </w:r>
          </w:p>
          <w:p>
            <w:pPr>
              <w:spacing w:lineRule="auto" w:line="288" w:before="0" w:after="240"/>
              <w:ind w:firstLine="0" w:left="0" w:right="0"/>
              <w:jc w:val="left"/>
              <w:rPr>
                <w:rFonts w:ascii="Arial" w:hAnsi="Arial" w:cs="Arial"/>
                <w:color w:val="000000"/>
                <w:sz w:val="20"/>
                <w:szCs w:val="20"/>
              </w:rPr>
            </w:pPr>
            <w:r>
              <w:rPr>
                <w:rFonts w:ascii="Arial" w:hAnsi="Arial" w:cs="Arial"/>
                <w:b w:val="1"/>
                <w:color w:val="000000"/>
                <w:sz w:val="20"/>
                <w:szCs w:val="20"/>
              </w:rPr>
              <w:t>Gestaltung für eine vielfältige Gesellschaft</w:t>
            </w:r>
          </w:p>
          <w:p>
            <w:pPr>
              <w:spacing w:lineRule="auto" w:line="288" w:before="0" w:after="240"/>
              <w:ind w:firstLine="0" w:left="0" w:right="0"/>
              <w:jc w:val="left"/>
              <w:rPr>
                <w:rFonts w:ascii="Arial" w:hAnsi="Arial" w:cs="Arial"/>
                <w:color w:val="000000"/>
                <w:sz w:val="20"/>
                <w:szCs w:val="20"/>
              </w:rPr>
            </w:pPr>
            <w:r>
              <w:rPr>
                <w:rFonts w:ascii="Arial" w:hAnsi="Arial" w:cs="Arial"/>
                <w:color w:val="000000"/>
                <w:sz w:val="20"/>
                <w:szCs w:val="20"/>
              </w:rPr>
              <w:t>Universal Design ist bei TOTO kein Zusatz, sondern ein Grundprinzip. Durch kontinuierliche Forschung, echte Begegnung mit den Nutzerinnen und Nutzern und die Bereitschaft, bestehende Standards neu zu denken, entstehen Lösungen, die den Alltag erleichtern und Teilhabe selbstverständlich machen.</w:t>
            </w:r>
          </w:p>
          <w:p>
            <w:pPr>
              <w:spacing w:lineRule="auto" w:line="288" w:before="0" w:after="240"/>
              <w:ind w:firstLine="0" w:left="0" w:right="0"/>
              <w:jc w:val="left"/>
              <w:rPr>
                <w:rFonts w:ascii="Arial" w:hAnsi="Arial" w:cs="Arial"/>
                <w:color w:val="000000"/>
                <w:sz w:val="20"/>
                <w:szCs w:val="20"/>
              </w:rPr>
            </w:pPr>
            <w:r>
              <w:rPr>
                <w:rFonts w:ascii="Arial" w:hAnsi="Arial" w:cs="Arial"/>
                <w:b w:val="1"/>
                <w:color w:val="000000"/>
                <w:sz w:val="20"/>
                <w:szCs w:val="20"/>
              </w:rPr>
              <w:t>Weitere Informationen</w:t>
            </w:r>
          </w:p>
          <w:p>
            <w:pPr>
              <w:spacing w:lineRule="auto" w:line="288" w:before="0" w:after="240"/>
              <w:ind w:firstLine="0" w:left="0" w:right="0"/>
              <w:jc w:val="left"/>
              <w:rPr>
                <w:rFonts w:ascii="Arial" w:hAnsi="Arial" w:cs="Arial"/>
                <w:color w:val="000000"/>
                <w:sz w:val="20"/>
                <w:szCs w:val="20"/>
              </w:rPr>
            </w:pPr>
            <w:r>
              <w:rPr>
                <w:rFonts w:ascii="Arial" w:hAnsi="Arial" w:cs="Arial"/>
                <w:color w:val="000000"/>
                <w:sz w:val="20"/>
                <w:szCs w:val="20"/>
              </w:rPr>
              <w:t>Die Medieninformationen zum Tokyo Toilet Project finden Sie hier:</w:t>
            </w:r>
          </w:p>
          <w:p>
            <w:pPr>
              <w:spacing w:lineRule="auto" w:line="288" w:before="0" w:after="240"/>
              <w:ind w:firstLine="0" w:left="0" w:right="0"/>
              <w:jc w:val="left"/>
              <w:rPr>
                <w:rFonts w:ascii="Arial" w:hAnsi="Arial" w:cs="Arial"/>
                <w:color w:val="000000"/>
                <w:sz w:val="20"/>
                <w:szCs w:val="20"/>
              </w:rPr>
            </w:pPr>
            <w:hyperlink r:id="R2">
              <w:r>
                <w:rPr>
                  <w:rStyle w:val="C2"/>
                  <w:rFonts w:ascii="Arial" w:hAnsi="Arial" w:cs="Arial"/>
                  <w:color w:val="000000"/>
                  <w:sz w:val="20"/>
                  <w:szCs w:val="20"/>
                </w:rPr>
                <w:t>The Tokyo Toilet Project</w:t>
              </w:r>
            </w:hyperlink>
          </w:p>
          <w:p>
            <w:pPr>
              <w:spacing w:lineRule="auto" w:line="288" w:before="0" w:after="240"/>
              <w:ind w:firstLine="0" w:left="0" w:right="0"/>
              <w:jc w:val="left"/>
              <w:rPr>
                <w:rFonts w:ascii="Arial" w:hAnsi="Arial" w:cs="Arial"/>
                <w:color w:val="000000"/>
                <w:sz w:val="20"/>
                <w:szCs w:val="20"/>
              </w:rPr>
            </w:pPr>
            <w:hyperlink r:id="R3">
              <w:r>
                <w:rPr>
                  <w:rStyle w:val="C2"/>
                  <w:rFonts w:ascii="Arial" w:hAnsi="Arial" w:cs="Arial"/>
                  <w:color w:val="000000"/>
                  <w:sz w:val="20"/>
                  <w:szCs w:val="20"/>
                </w:rPr>
                <w:t>The Tokyo Toilet Project, Update 2022</w:t>
              </w:r>
            </w:hyperlink>
          </w:p>
          <w:p>
            <w:pPr>
              <w:spacing w:lineRule="auto" w:line="288" w:before="0" w:after="240"/>
              <w:ind w:firstLine="0" w:left="0" w:right="0"/>
              <w:jc w:val="left"/>
              <w:rPr>
                <w:rFonts w:ascii="Arial" w:hAnsi="Arial" w:cs="Arial"/>
                <w:color w:val="000000"/>
                <w:sz w:val="20"/>
                <w:szCs w:val="20"/>
              </w:rPr>
            </w:pPr>
            <w:hyperlink r:id="R4">
              <w:r>
                <w:rPr>
                  <w:rStyle w:val="C2"/>
                  <w:rFonts w:ascii="Arial" w:hAnsi="Arial" w:cs="Arial"/>
                  <w:color w:val="000000"/>
                  <w:sz w:val="20"/>
                  <w:szCs w:val="20"/>
                </w:rPr>
                <w:t>The Tokyo Toilet Project, fertiggestellt</w:t>
              </w:r>
            </w:hyperlink>
          </w:p>
          <w:p>
            <w:pPr>
              <w:spacing w:lineRule="auto" w:line="288" w:before="0" w:after="240"/>
              <w:ind w:firstLine="0" w:left="0" w:right="0"/>
              <w:jc w:val="left"/>
              <w:rPr>
                <w:rFonts w:ascii="Arial" w:hAnsi="Arial" w:cs="Arial"/>
                <w:color w:val="000000"/>
                <w:sz w:val="20"/>
                <w:szCs w:val="20"/>
              </w:rPr>
            </w:pPr>
            <w:r>
              <w:rPr>
                <w:rFonts w:ascii="Arial" w:hAnsi="Arial" w:cs="Arial"/>
                <w:color w:val="000000"/>
                <w:sz w:val="20"/>
                <w:szCs w:val="20"/>
              </w:rPr>
              <w:t> </w:t>
            </w:r>
          </w:p>
          <w:p>
            <w:pPr>
              <w:spacing w:lineRule="auto" w:line="288" w:before="0" w:after="240"/>
              <w:ind w:firstLine="0" w:left="0" w:right="0"/>
              <w:jc w:val="left"/>
              <w:rPr>
                <w:rFonts w:ascii="Arial" w:hAnsi="Arial" w:cs="Arial"/>
                <w:color w:val="000000"/>
                <w:sz w:val="20"/>
                <w:szCs w:val="20"/>
              </w:rPr>
            </w:pPr>
            <w:r>
              <w:rPr>
                <w:rFonts w:ascii="Arial" w:hAnsi="Arial" w:cs="Arial"/>
                <w:color w:val="000000"/>
                <w:sz w:val="20"/>
                <w:szCs w:val="20"/>
              </w:rPr>
              <w:t>Über das Engagement von TOTO bei der Expo 2025 in Japan erfahren Sie hier mehr:</w:t>
            </w:r>
          </w:p>
          <w:p>
            <w:pPr>
              <w:spacing w:lineRule="auto" w:line="288" w:before="0" w:after="240"/>
              <w:ind w:firstLine="0" w:left="0" w:right="0"/>
              <w:jc w:val="left"/>
              <w:rPr>
                <w:rFonts w:ascii="Arial" w:hAnsi="Arial" w:cs="Arial"/>
                <w:color w:val="000000"/>
                <w:sz w:val="20"/>
                <w:szCs w:val="20"/>
              </w:rPr>
            </w:pPr>
            <w:hyperlink r:id="R5">
              <w:r>
                <w:rPr>
                  <w:rStyle w:val="C2"/>
                  <w:rFonts w:ascii="Arial" w:hAnsi="Arial" w:cs="Arial"/>
                  <w:color w:val="000000"/>
                  <w:sz w:val="20"/>
                  <w:szCs w:val="20"/>
                </w:rPr>
                <w:t>TOTO ist Bronzesponsor der EXPO 2025</w:t>
              </w:r>
            </w:hyperlink>
          </w:p>
          <w:p>
            <w:pPr>
              <w:spacing w:lineRule="auto" w:line="288" w:before="0" w:after="240"/>
              <w:ind w:firstLine="0" w:left="0" w:right="0"/>
              <w:jc w:val="left"/>
              <w:rPr>
                <w:rFonts w:ascii="Arial" w:hAnsi="Arial" w:cs="Arial"/>
                <w:color w:val="000000"/>
                <w:sz w:val="20"/>
                <w:szCs w:val="20"/>
              </w:rPr>
            </w:pPr>
            <w:r>
              <w:rPr>
                <w:rFonts w:ascii="Arial" w:hAnsi="Arial" w:cs="Arial"/>
                <w:color w:val="000000"/>
                <w:sz w:val="20"/>
                <w:szCs w:val="20"/>
              </w:rPr>
              <w:t> </w:t>
            </w:r>
          </w:p>
          <w:p>
            <w:pPr>
              <w:spacing w:lineRule="auto" w:line="288" w:before="0"/>
              <w:ind w:firstLine="0"/>
              <w:jc w:val="left"/>
              <w:rPr>
                <w:rFonts w:ascii="Arial" w:hAnsi="Arial" w:cs="Arial"/>
                <w:color w:val="000000"/>
                <w:sz w:val="20"/>
                <w:szCs w:val="20"/>
              </w:rPr>
            </w:pPr>
            <w:r>
              <w:rPr>
                <w:rFonts w:ascii="Arial" w:hAnsi="Arial" w:cs="Arial"/>
                <w:color w:val="000000"/>
                <w:sz w:val="20"/>
                <w:szCs w:val="20"/>
              </w:rPr>
              <w:t>Düsseldorf, März 2026</w:t>
              <w:br w:type="textWrapping"/>
              <w:t>Abdruck honorarfrei / Beleg erbeten</w:t>
            </w:r>
          </w:p>
        </w:tc>
        <w:tc>
          <w:tcPr>
            <w:tcW w:w="1200" w:type="pct"/>
            <w:tcBorders>
              <w:top w:val="nil"/>
              <w:left w:val="nil"/>
              <w:bottom w:val="nil"/>
              <w:right w:val="nil"/>
            </w:tcBorders>
            <w:shd w:val="clear" w:color="auto" w:fill="auto"/>
            <w:tcMar>
              <w:top w:w="0" w:type="dxa"/>
              <w:left w:w="0" w:type="dxa"/>
              <w:bottom w:w="0" w:type="dxa"/>
              <w:right w:w="227" w:type="dxa"/>
            </w:tcMar>
          </w:tcPr>
          <w:p>
            <w:pPr>
              <w:spacing w:lineRule="auto" w:line="288" w:before="0" w:after="240"/>
              <w:ind w:firstLine="0" w:left="0" w:right="0"/>
              <w:jc w:val="left"/>
              <w:rPr>
                <w:rFonts w:ascii="Arial" w:hAnsi="Arial" w:cs="Arial"/>
                <w:color w:val="000000"/>
                <w:sz w:val="20"/>
                <w:szCs w:val="20"/>
              </w:rPr>
            </w:pPr>
            <w:r>
              <w:rPr>
                <w:rFonts w:ascii="Arial" w:hAnsi="Arial" w:cs="Arial"/>
                <w:b w:val="1"/>
                <w:color w:val="000000"/>
                <w:sz w:val="20"/>
                <w:szCs w:val="20"/>
              </w:rPr>
              <w:t>Ansprechpartnerin für die Presse:</w:t>
              <w:br w:type="textWrapping"/>
            </w:r>
            <w:r>
              <w:rPr>
                <w:rFonts w:ascii="Arial" w:hAnsi="Arial" w:cs="Arial"/>
                <w:color w:val="000000"/>
                <w:sz w:val="20"/>
                <w:szCs w:val="20"/>
              </w:rPr>
              <w:t>bering*kopal GbR, Büro für Kommunikation</w:t>
              <w:br w:type="textWrapping"/>
              <w:t>Heike Bering</w:t>
              <w:br w:type="textWrapping"/>
              <w:t>Tel. +49 (0)711 7451 759 15</w:t>
            </w:r>
          </w:p>
          <w:p>
            <w:pPr>
              <w:spacing w:lineRule="auto" w:line="288" w:before="0" w:after="240"/>
              <w:ind w:firstLine="0" w:left="0" w:right="0"/>
              <w:jc w:val="left"/>
              <w:rPr>
                <w:rFonts w:ascii="Arial" w:hAnsi="Arial" w:cs="Arial"/>
                <w:color w:val="000000"/>
                <w:sz w:val="20"/>
                <w:szCs w:val="20"/>
              </w:rPr>
            </w:pPr>
            <w:r>
              <w:rPr>
                <w:rFonts w:ascii="Arial" w:hAnsi="Arial" w:cs="Arial"/>
                <w:color w:val="000000"/>
                <w:sz w:val="20"/>
                <w:szCs w:val="20"/>
              </w:rPr>
              <w:t>heike.bering@</w:t>
              <w:br w:type="textWrapping"/>
              <w:t>bering-kopal.de</w:t>
            </w:r>
          </w:p>
          <w:p>
            <w:pPr>
              <w:spacing w:lineRule="auto" w:line="288" w:before="0" w:after="240"/>
              <w:ind w:firstLine="0" w:left="0" w:right="0"/>
              <w:jc w:val="left"/>
              <w:rPr>
                <w:rFonts w:ascii="Arial" w:hAnsi="Arial" w:cs="Arial"/>
                <w:color w:val="000000"/>
                <w:sz w:val="20"/>
                <w:szCs w:val="20"/>
              </w:rPr>
            </w:pPr>
            <w:r>
              <w:rPr>
                <w:rFonts w:ascii="Arial" w:hAnsi="Arial" w:cs="Arial"/>
                <w:b w:val="1"/>
                <w:color w:val="000000"/>
                <w:sz w:val="20"/>
                <w:szCs w:val="20"/>
              </w:rPr>
              <w:t>Ansprechpartnerin im Unternehmen:</w:t>
              <w:br w:type="textWrapping"/>
            </w:r>
            <w:r>
              <w:rPr>
                <w:rFonts w:ascii="Arial" w:hAnsi="Arial" w:cs="Arial"/>
                <w:color w:val="000000"/>
                <w:sz w:val="20"/>
                <w:szCs w:val="20"/>
              </w:rPr>
              <w:t>Anja Giersiepen</w:t>
              <w:br w:type="textWrapping"/>
              <w:t>anja.giersiepen@</w:t>
              <w:br w:type="textWrapping"/>
              <w:t>toto.com</w:t>
            </w:r>
          </w:p>
          <w:p>
            <w:pPr>
              <w:spacing w:lineRule="auto" w:line="288" w:before="0"/>
              <w:ind w:firstLine="0"/>
              <w:jc w:val="left"/>
              <w:rPr>
                <w:rFonts w:ascii="Arial" w:hAnsi="Arial" w:cs="Arial"/>
                <w:color w:val="000000"/>
                <w:sz w:val="20"/>
                <w:szCs w:val="20"/>
              </w:rPr>
            </w:pPr>
            <w:r>
              <w:rPr>
                <w:rFonts w:ascii="Arial" w:hAnsi="Arial" w:cs="Arial"/>
                <w:color w:val="000000"/>
                <w:sz w:val="20"/>
                <w:szCs w:val="20"/>
              </w:rPr>
              <w:t>TOTO im Internet:</w:t>
              <w:br w:type="textWrapping"/>
            </w:r>
            <w:hyperlink r:id="R6">
              <w:r>
                <w:rPr>
                  <w:rStyle w:val="C2"/>
                  <w:rFonts w:ascii="Arial" w:hAnsi="Arial" w:cs="Arial"/>
                  <w:color w:val="000000"/>
                  <w:sz w:val="20"/>
                  <w:szCs w:val="20"/>
                </w:rPr>
                <w:t>eu.toto.com/de</w:t>
              </w:r>
            </w:hyperlink>
          </w:p>
        </w:tc>
      </w:tr>
    </w:tbl>
    <w:p>
      <w:pPr>
        <w:spacing w:lineRule="auto" w:line="288"/>
        <w:jc w:val="left"/>
      </w:pPr>
      <w:r>
        <w:br w:type="page"/>
      </w:r>
    </w:p>
    <w:p>
      <w:pPr>
        <w:spacing w:lineRule="auto" w:line="288"/>
        <w:jc w:val="left"/>
        <w:rPr>
          <w:rFonts w:ascii="Arial" w:hAnsi="Arial" w:cs="Arial"/>
          <w:color w:val="000000"/>
          <w:sz w:val="17"/>
          <w:szCs w:val="17"/>
        </w:rPr>
      </w:pPr>
      <w:r>
        <w:rPr>
          <w:rFonts w:ascii="Arial" w:hAnsi="Arial" w:cs="Arial"/>
          <w:b w:val="1"/>
          <w:color w:val="000000"/>
          <w:sz w:val="17"/>
          <w:szCs w:val="17"/>
        </w:rPr>
        <w:t>1</w:t>
      </w:r>
      <w:r>
        <w:rPr>
          <w:rFonts w:ascii="Arial" w:hAnsi="Arial" w:cs="Arial"/>
          <w:color w:val="000000"/>
          <w:sz w:val="17"/>
          <w:szCs w:val="17"/>
        </w:rPr>
        <w:t xml:space="preserve"> Für das Tokyo Toilet Project entwickelte der japanische Grafiker und Creative Director Kashiwa Sato ein einheitliches Piktogrammsystem. Es zeigt auf einen Blick, welche Funktionen und barrierefreien Elemente vorhanden sind, und unterstützt eine klare, intuitive Orientierung für Menschen mit unterschiedlichen Bedürfnissen. Foto: The Nippon Foundation / TOTO</w:t>
        <w:br w:type="textWrapping"/>
      </w:r>
    </w:p>
    <w:p>
      <w:pPr>
        <w:spacing w:lineRule="auto" w:line="288"/>
        <w:jc w:val="left"/>
        <w:rPr>
          <w:rFonts w:ascii="Arial" w:hAnsi="Arial" w:cs="Arial"/>
          <w:color w:val="000000"/>
          <w:sz w:val="17"/>
          <w:szCs w:val="17"/>
        </w:rPr>
      </w:pPr>
      <w:r>
        <w:rPr>
          <w:rFonts w:ascii="Arial" w:hAnsi="Arial" w:cs="Arial"/>
          <w:b w:val="1"/>
          <w:color w:val="000000"/>
          <w:sz w:val="17"/>
          <w:szCs w:val="17"/>
        </w:rPr>
        <w:t>2</w:t>
      </w:r>
      <w:r>
        <w:rPr>
          <w:rFonts w:ascii="Arial" w:hAnsi="Arial" w:cs="Arial"/>
          <w:color w:val="000000"/>
          <w:sz w:val="17"/>
          <w:szCs w:val="17"/>
        </w:rPr>
        <w:t xml:space="preserve"> Der strahlend weiße Toiletten-Kubus „WHITE“ von Kashiwa Sato, einem bekannten japanischen Grafiker und Creative Director, befindet sich am Westausgang des stark frequentierten Bahnhofsplatzes der Ebisu-Station. Foto: The Nippon Foundation / TOTO</w:t>
        <w:br w:type="textWrapping"/>
      </w:r>
    </w:p>
    <w:p>
      <w:pPr>
        <w:spacing w:lineRule="auto" w:line="288"/>
        <w:jc w:val="left"/>
        <w:rPr>
          <w:rFonts w:ascii="Arial" w:hAnsi="Arial" w:cs="Arial"/>
          <w:color w:val="000000"/>
          <w:sz w:val="17"/>
          <w:szCs w:val="17"/>
        </w:rPr>
      </w:pPr>
      <w:r>
        <w:rPr>
          <w:rFonts w:ascii="Arial" w:hAnsi="Arial" w:cs="Arial"/>
          <w:b w:val="1"/>
          <w:color w:val="000000"/>
          <w:sz w:val="17"/>
          <w:szCs w:val="17"/>
        </w:rPr>
        <w:t>3</w:t>
      </w:r>
      <w:r>
        <w:rPr>
          <w:rFonts w:ascii="Arial" w:hAnsi="Arial" w:cs="Arial"/>
          <w:color w:val="000000"/>
          <w:sz w:val="17"/>
          <w:szCs w:val="17"/>
        </w:rPr>
        <w:t xml:space="preserve"> Der Designer Miles Pennington versteht seinen Beitrag zum Tokyo Toilet Project nicht als klassische öffentliche Toilette, sondern als gemeinschaftlich nutzbaren Ort mit sanitären Funktionen. Der teilweise überdachte Außenbereich eröffnet Raum für flexible Nutzung und Aufenthalt. Foto: The Nippon Foundation / TOTO</w:t>
        <w:br w:type="textWrapping"/>
      </w:r>
    </w:p>
    <w:p>
      <w:pPr>
        <w:spacing w:lineRule="auto" w:line="288"/>
        <w:jc w:val="left"/>
        <w:rPr>
          <w:rFonts w:ascii="Arial" w:hAnsi="Arial" w:cs="Arial"/>
          <w:color w:val="000000"/>
          <w:sz w:val="17"/>
          <w:szCs w:val="17"/>
        </w:rPr>
      </w:pPr>
      <w:r>
        <w:rPr>
          <w:rFonts w:ascii="Arial" w:hAnsi="Arial" w:cs="Arial"/>
          <w:b w:val="1"/>
          <w:color w:val="000000"/>
          <w:sz w:val="17"/>
          <w:szCs w:val="17"/>
        </w:rPr>
        <w:t>4</w:t>
      </w:r>
      <w:r>
        <w:rPr>
          <w:rFonts w:ascii="Arial" w:hAnsi="Arial" w:cs="Arial"/>
          <w:color w:val="000000"/>
          <w:sz w:val="17"/>
          <w:szCs w:val="17"/>
        </w:rPr>
        <w:t xml:space="preserve"> An den automatischen Schiebetüren im überdachten Außenbereich sind Piktogramme angebracht, die Besucherinnen und Besuchern einen schnellen Überblick über die Ausstattung der jeweiligen Toilettenräume geben. Foto: The Nippon Foundation / TOTO</w:t>
        <w:br w:type="textWrapping"/>
      </w:r>
      <w:r>
        <w:rPr>
          <w:rFonts w:ascii="Arial" w:hAnsi="Arial" w:cs="Arial"/>
          <w:color w:val="000000"/>
          <w:sz w:val="17"/>
          <w:szCs w:val="17"/>
        </w:rPr>
        <w:br w:type="textWrapping"/>
      </w:r>
      <w:r>
        <w:rPr>
          <w:rFonts w:ascii="Arial" w:hAnsi="Arial" w:cs="Arial"/>
          <w:color w:val="000000"/>
          <w:sz w:val="17"/>
          <w:szCs w:val="17"/>
        </w:rPr>
        <w:br w:type="textWrapping"/>
      </w:r>
    </w:p>
    <w:tbl>
      <w:tblPr>
        <w:tblStyle w:val="T1"/>
        <w:tblW w:w="5000" w:type="pct"/>
        <w:jc w:val="left"/>
        <w:tblLayout w:type="fixed"/>
        <w:tblCellMar>
          <w:top w:w="0" w:type="dxa"/>
          <w:left w:w="0" w:type="dxa"/>
          <w:bottom w:w="0" w:type="dxa"/>
          <w:right w:w="0" w:type="dxa"/>
        </w:tblCellMar>
        <w:tblLook w:val="04A0"/>
      </w:tblPr>
      <w:tblGrid>
        <w:gridCol w:w="3519"/>
        <w:gridCol w:w="161"/>
        <w:gridCol w:w="3520"/>
      </w:tblGrid>
      <w:tr>
        <w:trPr/>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t>1.</w:t>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t>2.</w:t>
            </w:r>
          </w:p>
        </w:tc>
      </w:tr>
      <w:tr>
        <w:trPr>
          <w:trHeight w:hRule="exact" w:val="3175"/>
        </w:trPr>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3023235" cy="2014220"/>
                  <wp:effectExtent l="0" t="0" r="0" b="0"/>
                  <wp:docPr id="4"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dpi="0">
                          <a:blip xmlns:r="http://schemas.openxmlformats.org/officeDocument/2006/relationships" r:embed="Relimage2"/>
                          <a:srcRect/>
                          <a:stretch>
                            <a:fillRect/>
                          </a:stretch>
                        </pic:blipFill>
                        <pic:spPr>
                          <a:xfrm>
                            <a:off x="0" y="0"/>
                            <a:ext cx="3023235" cy="2014220"/>
                          </a:xfrm>
                          <a:prstGeom prst="rect"/>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3023235" cy="2014220"/>
                  <wp:effectExtent l="0" t="0" r="0" b="0"/>
                  <wp:docPr id="5" name="Pictu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dpi="0">
                          <a:blip xmlns:r="http://schemas.openxmlformats.org/officeDocument/2006/relationships" r:embed="Relimage3"/>
                          <a:srcRect/>
                          <a:stretch>
                            <a:fillRect/>
                          </a:stretch>
                        </pic:blipFill>
                        <pic:spPr>
                          <a:xfrm>
                            <a:off x="0" y="0"/>
                            <a:ext cx="3023235" cy="2014220"/>
                          </a:xfrm>
                          <a:prstGeom prst="rect"/>
                        </pic:spPr>
                      </pic:pic>
                    </a:graphicData>
                  </a:graphic>
                </wp:inline>
              </w:drawing>
            </w:r>
          </w:p>
        </w:tc>
      </w:tr>
      <w:tr>
        <w:trPr/>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r>
      <w:tr>
        <w:trPr/>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t>3.</w:t>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t>4.</w:t>
            </w:r>
          </w:p>
        </w:tc>
      </w:tr>
      <w:tr>
        <w:trPr>
          <w:trHeight w:hRule="exact" w:val="3175"/>
        </w:trPr>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3023235" cy="2014220"/>
                  <wp:effectExtent l="0" t="0" r="0" b="0"/>
                  <wp:docPr id="6" name="Pictu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dpi="0">
                          <a:blip xmlns:r="http://schemas.openxmlformats.org/officeDocument/2006/relationships" r:embed="Relimage4"/>
                          <a:srcRect/>
                          <a:stretch>
                            <a:fillRect/>
                          </a:stretch>
                        </pic:blipFill>
                        <pic:spPr>
                          <a:xfrm>
                            <a:off x="0" y="0"/>
                            <a:ext cx="3023235" cy="2014220"/>
                          </a:xfrm>
                          <a:prstGeom prst="rect"/>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3023235" cy="2014220"/>
                  <wp:effectExtent l="0" t="0" r="0" b="0"/>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dpi="0">
                          <a:blip xmlns:r="http://schemas.openxmlformats.org/officeDocument/2006/relationships" r:embed="Relimage5"/>
                          <a:srcRect/>
                          <a:stretch>
                            <a:fillRect/>
                          </a:stretch>
                        </pic:blipFill>
                        <pic:spPr>
                          <a:xfrm>
                            <a:off x="0" y="0"/>
                            <a:ext cx="3023235" cy="2014220"/>
                          </a:xfrm>
                          <a:prstGeom prst="rect"/>
                        </pic:spPr>
                      </pic:pic>
                    </a:graphicData>
                  </a:graphic>
                </wp:inline>
              </w:drawing>
            </w:r>
          </w:p>
        </w:tc>
      </w:tr>
    </w:tbl>
    <w:p>
      <w:pPr>
        <w:spacing w:lineRule="auto" w:line="288"/>
        <w:jc w:val="left"/>
      </w:pPr>
      <w:r>
        <w:br w:type="page"/>
      </w:r>
    </w:p>
    <w:p>
      <w:pPr>
        <w:spacing w:lineRule="auto" w:line="288"/>
        <w:jc w:val="left"/>
        <w:rPr>
          <w:rFonts w:ascii="Arial" w:hAnsi="Arial" w:cs="Arial"/>
          <w:color w:val="000000"/>
          <w:sz w:val="17"/>
          <w:szCs w:val="17"/>
        </w:rPr>
      </w:pPr>
      <w:r>
        <w:rPr>
          <w:rFonts w:ascii="Arial" w:hAnsi="Arial" w:cs="Arial"/>
          <w:b w:val="1"/>
          <w:color w:val="000000"/>
          <w:sz w:val="17"/>
          <w:szCs w:val="17"/>
        </w:rPr>
        <w:t>5</w:t>
      </w:r>
      <w:r>
        <w:rPr>
          <w:rFonts w:ascii="Arial" w:hAnsi="Arial" w:cs="Arial"/>
          <w:color w:val="000000"/>
          <w:sz w:val="17"/>
          <w:szCs w:val="17"/>
        </w:rPr>
        <w:t xml:space="preserve"> Vom japanischen Stararchitekten und Pritzker-Preisträger Shigeru Ban gestaltet, sind die Toilettenpavillons bei Nichtnutzung transparent – ein Bild, das um die Welt ging. Passanten können die Innenräume einsehen und sich von deren Sauberkeit überzeugen. Beim Verriegeln der Tür verfärbt sich das Glas zu einer undurchsichtigen Wand und schützt die Nutzenden vor Blicken. Foto: Satoshi Nagare</w:t>
        <w:br w:type="textWrapping"/>
      </w:r>
    </w:p>
    <w:p>
      <w:pPr>
        <w:spacing w:lineRule="auto" w:line="288"/>
        <w:jc w:val="left"/>
        <w:rPr>
          <w:rFonts w:ascii="Arial" w:hAnsi="Arial" w:cs="Arial"/>
          <w:color w:val="000000"/>
          <w:sz w:val="17"/>
          <w:szCs w:val="17"/>
        </w:rPr>
      </w:pPr>
      <w:r>
        <w:rPr>
          <w:rFonts w:ascii="Arial" w:hAnsi="Arial" w:cs="Arial"/>
          <w:b w:val="1"/>
          <w:color w:val="000000"/>
          <w:sz w:val="17"/>
          <w:szCs w:val="17"/>
        </w:rPr>
        <w:t>6</w:t>
      </w:r>
      <w:r>
        <w:rPr>
          <w:rFonts w:ascii="Arial" w:hAnsi="Arial" w:cs="Arial"/>
          <w:color w:val="000000"/>
          <w:sz w:val="17"/>
          <w:szCs w:val="17"/>
        </w:rPr>
        <w:t xml:space="preserve"> Als architektonischer Rahmen für ganzheitliche Gesundheit verband der Osaka Healthcare Pavillon auf der Expo 2025 Ausstellung, Technologie und barrierefreie Infrastruktur – inklusive der von TOTO konzipierten Sanitärräume nach Prinzipien des Universal Design. Foto: TOTO</w:t>
        <w:br w:type="textWrapping"/>
      </w:r>
    </w:p>
    <w:p>
      <w:pPr>
        <w:spacing w:lineRule="auto" w:line="288"/>
        <w:jc w:val="left"/>
        <w:rPr>
          <w:rFonts w:ascii="Arial" w:hAnsi="Arial" w:cs="Arial"/>
          <w:color w:val="000000"/>
          <w:sz w:val="17"/>
          <w:szCs w:val="17"/>
        </w:rPr>
      </w:pPr>
      <w:r>
        <w:rPr>
          <w:rFonts w:ascii="Arial" w:hAnsi="Arial" w:cs="Arial"/>
          <w:b w:val="1"/>
          <w:color w:val="000000"/>
          <w:sz w:val="17"/>
          <w:szCs w:val="17"/>
        </w:rPr>
        <w:t>7</w:t>
      </w:r>
      <w:r>
        <w:rPr>
          <w:rFonts w:ascii="Arial" w:hAnsi="Arial" w:cs="Arial"/>
          <w:color w:val="000000"/>
          <w:sz w:val="17"/>
          <w:szCs w:val="17"/>
        </w:rPr>
        <w:t xml:space="preserve"> Hinweistafel zur inklusiven Toilette im Osaka Healthcare Pavilion: Das Informationsschild erläutert die Gestaltung und Nutzung der barrierefreien Sanitäreinrichtung und macht die Prinzipien des Universal Design für alle Besucherinnen und Besucher verständlich. Foto: TOTO</w:t>
        <w:br w:type="textWrapping"/>
      </w:r>
    </w:p>
    <w:p>
      <w:pPr>
        <w:spacing w:lineRule="auto" w:line="288"/>
        <w:jc w:val="left"/>
        <w:rPr>
          <w:rFonts w:ascii="Arial" w:hAnsi="Arial" w:cs="Arial"/>
          <w:color w:val="000000"/>
          <w:sz w:val="17"/>
          <w:szCs w:val="17"/>
        </w:rPr>
      </w:pPr>
      <w:r>
        <w:rPr>
          <w:rFonts w:ascii="Arial" w:hAnsi="Arial" w:cs="Arial"/>
          <w:b w:val="1"/>
          <w:color w:val="000000"/>
          <w:sz w:val="17"/>
          <w:szCs w:val="17"/>
        </w:rPr>
        <w:t>8</w:t>
      </w:r>
      <w:r>
        <w:rPr>
          <w:rFonts w:ascii="Arial" w:hAnsi="Arial" w:cs="Arial"/>
          <w:color w:val="000000"/>
          <w:sz w:val="17"/>
          <w:szCs w:val="17"/>
        </w:rPr>
        <w:t xml:space="preserve"> Detailansicht der Hinweistafel zur inklusiven Toilette im Osaka Healthcare Pavilion: Die Informationen erklären die einzelnen Funktionen und verdeutlichen den Anspruch, Sanitärräume für Menschen mit unterschiedlichen Bedürfnissen verständlich und zugänglich zu gestalten. Foto: TOTO</w:t>
        <w:br w:type="textWrapping"/>
      </w:r>
      <w:r>
        <w:rPr>
          <w:rFonts w:ascii="Arial" w:hAnsi="Arial" w:cs="Arial"/>
          <w:color w:val="000000"/>
          <w:sz w:val="17"/>
          <w:szCs w:val="17"/>
        </w:rPr>
        <w:br w:type="textWrapping"/>
      </w:r>
      <w:r>
        <w:rPr>
          <w:rFonts w:ascii="Arial" w:hAnsi="Arial" w:cs="Arial"/>
          <w:color w:val="000000"/>
          <w:sz w:val="17"/>
          <w:szCs w:val="17"/>
        </w:rPr>
        <w:br w:type="textWrapping"/>
      </w:r>
    </w:p>
    <w:tbl>
      <w:tblPr>
        <w:tblStyle w:val="T1"/>
        <w:tblW w:w="5000" w:type="pct"/>
        <w:jc w:val="left"/>
        <w:tblLayout w:type="fixed"/>
        <w:tblCellMar>
          <w:top w:w="0" w:type="dxa"/>
          <w:left w:w="0" w:type="dxa"/>
          <w:bottom w:w="0" w:type="dxa"/>
          <w:right w:w="0" w:type="dxa"/>
        </w:tblCellMar>
        <w:tblLook w:val="04A0"/>
      </w:tblPr>
      <w:tblGrid>
        <w:gridCol w:w="3519"/>
        <w:gridCol w:w="161"/>
        <w:gridCol w:w="3520"/>
      </w:tblGrid>
      <w:tr>
        <w:trPr/>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t>5.</w:t>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t>6.</w:t>
            </w:r>
          </w:p>
        </w:tc>
      </w:tr>
      <w:tr>
        <w:trPr>
          <w:trHeight w:hRule="exact" w:val="3175"/>
        </w:trPr>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3023235" cy="2014220"/>
                  <wp:effectExtent l="0" t="0" r="0" b="0"/>
                  <wp:docPr id="8" name="Pictu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dpi="0">
                          <a:blip xmlns:r="http://schemas.openxmlformats.org/officeDocument/2006/relationships" r:embed="Relimage6"/>
                          <a:srcRect/>
                          <a:stretch>
                            <a:fillRect/>
                          </a:stretch>
                        </pic:blipFill>
                        <pic:spPr>
                          <a:xfrm>
                            <a:off x="0" y="0"/>
                            <a:ext cx="3023235" cy="2014220"/>
                          </a:xfrm>
                          <a:prstGeom prst="rect"/>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3023235" cy="1700530"/>
                  <wp:effectExtent l="0" t="0" r="0" b="0"/>
                  <wp:docPr id="9"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dpi="0">
                          <a:blip xmlns:r="http://schemas.openxmlformats.org/officeDocument/2006/relationships" r:embed="Relimage7"/>
                          <a:srcRect/>
                          <a:stretch>
                            <a:fillRect/>
                          </a:stretch>
                        </pic:blipFill>
                        <pic:spPr>
                          <a:xfrm>
                            <a:off x="0" y="0"/>
                            <a:ext cx="3023235" cy="1700530"/>
                          </a:xfrm>
                          <a:prstGeom prst="rect"/>
                        </pic:spPr>
                      </pic:pic>
                    </a:graphicData>
                  </a:graphic>
                </wp:inline>
              </w:drawing>
            </w:r>
          </w:p>
        </w:tc>
      </w:tr>
      <w:tr>
        <w:trPr/>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r>
      <w:tr>
        <w:trPr/>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t>7.</w:t>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t>8.</w:t>
            </w:r>
          </w:p>
        </w:tc>
      </w:tr>
      <w:tr>
        <w:trPr>
          <w:trHeight w:hRule="exact" w:val="3175"/>
        </w:trPr>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3023235" cy="1700530"/>
                  <wp:effectExtent l="0" t="0" r="0" b="0"/>
                  <wp:docPr id="10" name="Pictu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dpi="0">
                          <a:blip xmlns:r="http://schemas.openxmlformats.org/officeDocument/2006/relationships" r:embed="Relimage8"/>
                          <a:srcRect/>
                          <a:stretch>
                            <a:fillRect/>
                          </a:stretch>
                        </pic:blipFill>
                        <pic:spPr>
                          <a:xfrm>
                            <a:off x="0" y="0"/>
                            <a:ext cx="3023235" cy="1700530"/>
                          </a:xfrm>
                          <a:prstGeom prst="rect"/>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3023235" cy="1700530"/>
                  <wp:effectExtent l="0" t="0" r="0" b="0"/>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dpi="0">
                          <a:blip xmlns:r="http://schemas.openxmlformats.org/officeDocument/2006/relationships" r:embed="Relimage9"/>
                          <a:srcRect/>
                          <a:stretch>
                            <a:fillRect/>
                          </a:stretch>
                        </pic:blipFill>
                        <pic:spPr>
                          <a:xfrm>
                            <a:off x="0" y="0"/>
                            <a:ext cx="3023235" cy="1700530"/>
                          </a:xfrm>
                          <a:prstGeom prst="rect"/>
                        </pic:spPr>
                      </pic:pic>
                    </a:graphicData>
                  </a:graphic>
                </wp:inline>
              </w:drawing>
            </w:r>
          </w:p>
        </w:tc>
      </w:tr>
    </w:tbl>
    <w:p>
      <w:pPr>
        <w:spacing w:lineRule="auto" w:line="288"/>
        <w:jc w:val="left"/>
      </w:pPr>
      <w:r>
        <w:br w:type="page"/>
      </w:r>
    </w:p>
    <w:p>
      <w:pPr>
        <w:spacing w:lineRule="auto" w:line="288"/>
        <w:jc w:val="left"/>
        <w:rPr>
          <w:rFonts w:ascii="Arial" w:hAnsi="Arial" w:cs="Arial"/>
          <w:color w:val="000000"/>
          <w:sz w:val="17"/>
          <w:szCs w:val="17"/>
        </w:rPr>
      </w:pPr>
      <w:r>
        <w:rPr>
          <w:rFonts w:ascii="Arial" w:hAnsi="Arial" w:cs="Arial"/>
          <w:b w:val="1"/>
          <w:color w:val="000000"/>
          <w:sz w:val="17"/>
          <w:szCs w:val="17"/>
        </w:rPr>
        <w:t>9</w:t>
      </w:r>
      <w:r>
        <w:rPr>
          <w:rFonts w:ascii="Arial" w:hAnsi="Arial" w:cs="Arial"/>
          <w:color w:val="000000"/>
          <w:sz w:val="17"/>
          <w:szCs w:val="17"/>
        </w:rPr>
        <w:t xml:space="preserve"> In den Ausstellungskontext des Osaka Healthcare Pavilion eingebunden, veranschaulichen die von TOTO ausgestatteten Sanitäranlagen, wie inklusives Design Komfort, Nachhaltigkeit und Barrierefreiheit für alle Besucherinnen und Besucher zusammenführt. Foto: TOTO</w:t>
        <w:br w:type="textWrapping"/>
      </w:r>
    </w:p>
    <w:p>
      <w:pPr>
        <w:spacing w:lineRule="auto" w:line="288"/>
        <w:jc w:val="left"/>
        <w:rPr>
          <w:rFonts w:ascii="Arial" w:hAnsi="Arial" w:cs="Arial"/>
          <w:color w:val="000000"/>
          <w:sz w:val="17"/>
          <w:szCs w:val="17"/>
        </w:rPr>
      </w:pPr>
      <w:r>
        <w:rPr>
          <w:rFonts w:ascii="Arial" w:hAnsi="Arial" w:cs="Arial"/>
          <w:b w:val="1"/>
          <w:color w:val="000000"/>
          <w:sz w:val="17"/>
          <w:szCs w:val="17"/>
        </w:rPr>
        <w:t>10</w:t>
      </w:r>
      <w:r>
        <w:rPr>
          <w:rFonts w:ascii="Arial" w:hAnsi="Arial" w:cs="Arial"/>
          <w:color w:val="000000"/>
          <w:sz w:val="17"/>
          <w:szCs w:val="17"/>
        </w:rPr>
        <w:t xml:space="preserve"> Die Miyajima Omotenashi Toilet auf der japanischen Insel Miyajima: Der öffentlich zugängliche Sanitärbau verbindet architektonische Zurückhaltung mit klarer Orientierung und barrierefreiem Zugang – gestaltet nach den Prinzipien des Universal Design von TOTO. Foto: TOTO</w:t>
        <w:br w:type="textWrapping"/>
      </w:r>
    </w:p>
    <w:p>
      <w:pPr>
        <w:spacing w:lineRule="auto" w:line="288"/>
        <w:jc w:val="left"/>
        <w:rPr>
          <w:rFonts w:ascii="Arial" w:hAnsi="Arial" w:cs="Arial"/>
          <w:color w:val="000000"/>
          <w:sz w:val="17"/>
          <w:szCs w:val="17"/>
        </w:rPr>
      </w:pPr>
      <w:r>
        <w:rPr>
          <w:rFonts w:ascii="Arial" w:hAnsi="Arial" w:cs="Arial"/>
          <w:b w:val="1"/>
          <w:color w:val="000000"/>
          <w:sz w:val="17"/>
          <w:szCs w:val="17"/>
        </w:rPr>
        <w:t>11</w:t>
      </w:r>
      <w:r>
        <w:rPr>
          <w:rFonts w:ascii="Arial" w:hAnsi="Arial" w:cs="Arial"/>
          <w:color w:val="000000"/>
          <w:sz w:val="17"/>
          <w:szCs w:val="17"/>
        </w:rPr>
        <w:t xml:space="preserve"> Innenansicht der Miyajima Omotenashi Toilet: Großzügige Raumproportionen, übersichtlich angeordnete Waschtische und Spiegel sowie eine klare Lichtführung sorgen für Orientierung, Komfort und eine selbstverständliche Nutzung für Menschen mit unterschiedlichen Bedürfnissen. Foto: TOTO</w:t>
        <w:br w:type="textWrapping"/>
      </w:r>
      <w:r>
        <w:rPr>
          <w:rFonts w:ascii="Arial" w:hAnsi="Arial" w:cs="Arial"/>
          <w:color w:val="000000"/>
          <w:sz w:val="17"/>
          <w:szCs w:val="17"/>
        </w:rPr>
        <w:br w:type="textWrapping"/>
      </w:r>
      <w:r>
        <w:rPr>
          <w:rFonts w:ascii="Arial" w:hAnsi="Arial" w:cs="Arial"/>
          <w:color w:val="000000"/>
          <w:sz w:val="17"/>
          <w:szCs w:val="17"/>
        </w:rPr>
        <w:br w:type="textWrapping"/>
      </w:r>
    </w:p>
    <w:tbl>
      <w:tblPr>
        <w:tblStyle w:val="T1"/>
        <w:tblW w:w="5000" w:type="pct"/>
        <w:jc w:val="left"/>
        <w:tblLayout w:type="fixed"/>
        <w:tblCellMar>
          <w:top w:w="0" w:type="dxa"/>
          <w:left w:w="0" w:type="dxa"/>
          <w:bottom w:w="0" w:type="dxa"/>
          <w:right w:w="0" w:type="dxa"/>
        </w:tblCellMar>
        <w:tblLook w:val="04A0"/>
      </w:tblPr>
      <w:tblGrid>
        <w:gridCol w:w="3519"/>
        <w:gridCol w:w="161"/>
        <w:gridCol w:w="3520"/>
      </w:tblGrid>
      <w:tr>
        <w:trPr/>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t>9.</w:t>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t>10.</w:t>
            </w:r>
          </w:p>
        </w:tc>
      </w:tr>
      <w:tr>
        <w:trPr>
          <w:trHeight w:hRule="exact" w:val="3175"/>
        </w:trPr>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3023235" cy="1700530"/>
                  <wp:effectExtent l="0" t="0" r="0" b="0"/>
                  <wp:docPr id="12" name="Pictu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dpi="0">
                          <a:blip xmlns:r="http://schemas.openxmlformats.org/officeDocument/2006/relationships" r:embed="Relimage10"/>
                          <a:srcRect/>
                          <a:stretch>
                            <a:fillRect/>
                          </a:stretch>
                        </pic:blipFill>
                        <pic:spPr>
                          <a:xfrm>
                            <a:off x="0" y="0"/>
                            <a:ext cx="3023235" cy="1700530"/>
                          </a:xfrm>
                          <a:prstGeom prst="rect"/>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3023235" cy="2014220"/>
                  <wp:effectExtent l="0" t="0" r="0" b="0"/>
                  <wp:docPr id="13" name="Pictu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dpi="0">
                          <a:blip xmlns:r="http://schemas.openxmlformats.org/officeDocument/2006/relationships" r:embed="Relimage11"/>
                          <a:srcRect/>
                          <a:stretch>
                            <a:fillRect/>
                          </a:stretch>
                        </pic:blipFill>
                        <pic:spPr>
                          <a:xfrm>
                            <a:off x="0" y="0"/>
                            <a:ext cx="3023235" cy="2014220"/>
                          </a:xfrm>
                          <a:prstGeom prst="rect"/>
                        </pic:spPr>
                      </pic:pic>
                    </a:graphicData>
                  </a:graphic>
                </wp:inline>
              </w:drawing>
            </w:r>
          </w:p>
        </w:tc>
      </w:tr>
      <w:tr>
        <w:trPr/>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r>
      <w:tr>
        <w:trPr/>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t>11.</w:t>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r>
      <w:tr>
        <w:trPr>
          <w:trHeight w:hRule="exact" w:val="3175"/>
        </w:trPr>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3023235" cy="2014220"/>
                  <wp:effectExtent l="0" t="0" r="0" b="0"/>
                  <wp:docPr id="14" name="Pictu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dpi="0">
                          <a:blip xmlns:r="http://schemas.openxmlformats.org/officeDocument/2006/relationships" r:embed="Relimage12"/>
                          <a:srcRect/>
                          <a:stretch>
                            <a:fillRect/>
                          </a:stretch>
                        </pic:blipFill>
                        <pic:spPr>
                          <a:xfrm>
                            <a:off x="0" y="0"/>
                            <a:ext cx="3023235" cy="2014220"/>
                          </a:xfrm>
                          <a:prstGeom prst="rect"/>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7"/>
                <w:szCs w:val="17"/>
              </w:rPr>
            </w:pPr>
          </w:p>
        </w:tc>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7"/>
                <w:szCs w:val="17"/>
              </w:rPr>
            </w:pPr>
          </w:p>
        </w:tc>
      </w:tr>
    </w:tbl>
    <w:p>
      <w:pPr>
        <w:spacing w:lineRule="auto" w:line="288"/>
        <w:jc w:val="left"/>
      </w:pPr>
      <w:r>
        <w:br w:type="page"/>
      </w:r>
    </w:p>
    <w:tbl>
      <w:tblPr>
        <w:tblStyle w:val="T1"/>
        <w:tblW w:w="5000" w:type="pct"/>
        <w:jc w:val="left"/>
        <w:tblLayout w:type="fixed"/>
        <w:tblCellMar>
          <w:top w:w="0" w:type="dxa"/>
          <w:left w:w="0" w:type="dxa"/>
          <w:bottom w:w="0" w:type="dxa"/>
          <w:right w:w="227" w:type="dxa"/>
        </w:tblCellMar>
        <w:tblLook w:val="04A0"/>
      </w:tblPr>
      <w:tblGrid>
        <w:gridCol w:w="2736"/>
        <w:gridCol w:w="2736"/>
        <w:gridCol w:w="1728"/>
      </w:tblGrid>
      <w:tr>
        <w:tc>
          <w:tcPr>
            <w:tcW w:w="3800" w:type="pct"/>
            <w:gridSpan w:val="2"/>
            <w:tcBorders>
              <w:top w:val="nil"/>
              <w:left w:val="nil"/>
              <w:bottom w:val="nil"/>
              <w:right w:val="nil"/>
            </w:tcBorders>
            <w:shd w:val="clear" w:color="auto" w:fill="auto"/>
            <w:tcMar>
              <w:top w:w="0" w:type="dxa"/>
              <w:left w:w="0" w:type="dxa"/>
              <w:bottom w:w="0" w:type="dxa"/>
              <w:right w:w="227" w:type="dxa"/>
            </w:tcMar>
          </w:tcPr>
          <w:p>
            <w:pPr>
              <w:spacing w:lineRule="auto" w:line="288" w:before="240" w:after="240"/>
              <w:rPr>
                <w:rFonts w:ascii="Arial" w:hAnsi="Arial" w:cs="Arial"/>
                <w:color w:val="000000"/>
                <w:sz w:val="20"/>
                <w:szCs w:val="20"/>
              </w:rPr>
            </w:pPr>
            <w:r>
              <w:rPr>
                <w:rFonts w:ascii="Arial" w:hAnsi="Arial" w:cs="Arial"/>
                <w:b w:val="1"/>
                <w:color w:val="000000"/>
                <w:sz w:val="20"/>
                <w:szCs w:val="20"/>
              </w:rPr>
              <w:t>Über TOTO Europe</w:t>
            </w:r>
          </w:p>
          <w:p>
            <w:pPr>
              <w:spacing w:lineRule="auto" w:line="288" w:before="240" w:after="240"/>
              <w:ind w:left="0" w:right="0"/>
              <w:rPr>
                <w:rFonts w:ascii="Arial" w:hAnsi="Arial" w:cs="Arial"/>
                <w:color w:val="000000"/>
                <w:sz w:val="20"/>
                <w:szCs w:val="20"/>
              </w:rPr>
            </w:pPr>
            <w:r>
              <w:rPr>
                <w:rFonts w:ascii="Arial" w:hAnsi="Arial" w:cs="Arial"/>
                <w:color w:val="000000"/>
                <w:sz w:val="20"/>
                <w:szCs w:val="20"/>
              </w:rPr>
              <w:t xml:space="preserve">TOTO steht für Badkultur auf höchstem Niveau. Design, Komfort und Hygiene greifen so präzise ineinander, dass die raffiniert integrierte Technik fast unsichtbar wird. Als Japans führender Komplettbadanbieter entwickelt TOTO ganzheitliche Lösungen für anspruchsvolle private und öffentliche Räume und ist seit 2009 auch erfolgreich in Europa präsent. TOTO prägt die Badgestaltung mit innovativer Sanitärkeramik, Armaturen und vor allem dem WASHLET, von dem bereits über 70 Millionen weltweit verkauft wurden. Das japanische Designverständnis von TOTO stellt den Menschen und seine Bedürfnisse in den Mittelpunkt. So entstehen Produkte, die vom Respekt für das Gegenüber geprägt sind – zurückhaltend im Design, selbstverständlich in der Nutzung. Diesen Respekt erweist TOTO auch der Umwelt. Mit wassersparenden Technologien trägt TOTO aktiv zur Ressourcenschonung bei und verfolgt seine Nachhaltigkeitsstrategie im Rahmen international anerkannter Initiativen wie der </w:t>
            </w:r>
            <w:hyperlink r:id="R7">
              <w:r>
                <w:rPr>
                  <w:rStyle w:val="C2"/>
                  <w:rFonts w:ascii="Arial" w:hAnsi="Arial" w:cs="Arial"/>
                  <w:color w:val="000000"/>
                  <w:sz w:val="20"/>
                  <w:szCs w:val="20"/>
                </w:rPr>
                <w:t>Climate Group RE100</w:t>
              </w:r>
            </w:hyperlink>
            <w:r>
              <w:rPr>
                <w:rFonts w:ascii="Arial" w:hAnsi="Arial" w:cs="Arial"/>
                <w:color w:val="000000"/>
                <w:sz w:val="20"/>
                <w:szCs w:val="20"/>
              </w:rPr>
              <w:t xml:space="preserve"> und der </w:t>
            </w:r>
            <w:hyperlink r:id="R8">
              <w:r>
                <w:rPr>
                  <w:rStyle w:val="C2"/>
                  <w:rFonts w:ascii="Arial" w:hAnsi="Arial" w:cs="Arial"/>
                  <w:color w:val="000000"/>
                  <w:sz w:val="20"/>
                  <w:szCs w:val="20"/>
                </w:rPr>
                <w:t>Science Based Targets Initiative</w:t>
              </w:r>
            </w:hyperlink>
            <w:r>
              <w:rPr>
                <w:rFonts w:ascii="Arial" w:hAnsi="Arial" w:cs="Arial"/>
                <w:color w:val="000000"/>
                <w:sz w:val="20"/>
                <w:szCs w:val="20"/>
              </w:rPr>
              <w:t>.</w:t>
            </w:r>
          </w:p>
          <w:p>
            <w:pPr>
              <w:spacing w:lineRule="auto" w:line="288"/>
              <w:jc w:val="left"/>
              <w:rPr>
                <w:rFonts w:ascii="Arial" w:hAnsi="Arial" w:cs="Arial"/>
                <w:color w:val="000000"/>
                <w:sz w:val="20"/>
                <w:szCs w:val="20"/>
              </w:rPr>
            </w:pPr>
            <w:r>
              <w:rPr>
                <w:rFonts w:ascii="Arial" w:hAnsi="Arial" w:cs="Arial"/>
                <w:color w:val="000000"/>
                <w:sz w:val="20"/>
                <w:szCs w:val="20"/>
              </w:rPr>
              <w:br w:type="textWrapping"/>
            </w:r>
          </w:p>
        </w:tc>
        <w:tc>
          <w:tcPr>
            <w:tcW w:w="1200" w:type="pct"/>
            <w:tcBorders>
              <w:top w:val="nil"/>
              <w:left w:val="nil"/>
              <w:bottom w:val="nil"/>
              <w:right w:val="nil"/>
            </w:tcBorders>
            <w:shd w:val="clear" w:color="auto" w:fill="auto"/>
            <w:tcMar>
              <w:top w:w="0" w:type="dxa"/>
              <w:left w:w="0" w:type="dxa"/>
              <w:bottom w:w="0" w:type="dxa"/>
              <w:right w:w="227" w:type="dxa"/>
            </w:tcMar>
          </w:tcPr>
          <w:p>
            <w:pPr>
              <w:spacing w:lineRule="auto" w:line="288"/>
              <w:jc w:val="left"/>
              <w:rPr>
                <w:rFonts w:ascii="Arial" w:hAnsi="Arial" w:cs="Arial"/>
                <w:color w:val="000000"/>
                <w:sz w:val="20"/>
                <w:szCs w:val="20"/>
              </w:rPr>
            </w:pPr>
            <w:r>
              <w:rPr>
                <w:rFonts w:ascii="Arial" w:hAnsi="Arial" w:cs="Arial"/>
                <w:color w:val="000000"/>
                <w:sz w:val="20"/>
                <w:szCs w:val="20"/>
              </w:rPr>
              <w:br w:type="textWrapping"/>
            </w:r>
          </w:p>
        </w:tc>
      </w:tr>
      <w:tr>
        <w:tblPrEx>
          <w:tblLook w:val="04A0"/>
        </w:tblPrEx>
        <w:trPr>
          <w:gridAfter w:val="1"/>
        </w:trPr>
        <w:tc>
          <w:tcPr>
            <w:tcW w:w="0" w:type="auto"/>
            <w:tcBorders>
              <w:top w:val="nil"/>
              <w:left w:val="nil"/>
              <w:bottom w:val="nil"/>
              <w:right w:val="nil"/>
            </w:tcBorders>
            <w:shd w:val="clear" w:color="auto" w:fill="auto"/>
            <w:tcMar>
              <w:top w:w="0" w:type="dxa"/>
              <w:left w:w="0" w:type="dxa"/>
              <w:bottom w:w="0" w:type="dxa"/>
              <w:right w:w="227" w:type="dxa"/>
            </w:tcMar>
          </w:tcPr>
          <w:p>
            <w:pPr>
              <w:spacing w:lineRule="auto" w:line="288"/>
              <w:jc w:val="left"/>
              <w:rPr>
                <w:rFonts w:ascii="Arial" w:hAnsi="Arial" w:cs="Arial"/>
                <w:color w:val="000000"/>
                <w:sz w:val="20"/>
                <w:szCs w:val="20"/>
              </w:rPr>
            </w:pPr>
          </w:p>
        </w:tc>
        <w:tc>
          <w:tcPr>
            <w:tcW w:w="0" w:type="auto"/>
            <w:tcBorders>
              <w:top w:val="nil"/>
              <w:left w:val="nil"/>
              <w:bottom w:val="nil"/>
              <w:right w:val="nil"/>
            </w:tcBorders>
            <w:shd w:val="clear" w:color="auto" w:fill="auto"/>
            <w:tcMar>
              <w:top w:w="0" w:type="dxa"/>
              <w:left w:w="0" w:type="dxa"/>
              <w:bottom w:w="0" w:type="dxa"/>
              <w:right w:w="227" w:type="dxa"/>
            </w:tcMar>
          </w:tcPr>
          <w:p>
            <w:pPr>
              <w:spacing w:lineRule="auto" w:line="288"/>
              <w:jc w:val="left"/>
              <w:rPr>
                <w:rFonts w:ascii="Arial" w:hAnsi="Arial" w:cs="Arial"/>
                <w:color w:val="000000"/>
                <w:sz w:val="20"/>
                <w:szCs w:val="20"/>
              </w:rPr>
            </w:pPr>
          </w:p>
        </w:tc>
      </w:tr>
    </w:tbl>
    <w:p>
      <w:pPr>
        <w:spacing w:lineRule="auto" w:line="288"/>
        <w:jc w:val="left"/>
      </w:pPr>
    </w:p>
    <w:sectPr>
      <w:headerReference w:type="first" r:id="RelHdr1"/>
      <w:headerReference w:type="default" r:id="RelHdr2"/>
      <w:footerReference w:type="first" r:id="RelFtr1"/>
      <w:footerReference w:type="default" r:id="RelFtr2"/>
      <w:type w:val="nextPage"/>
      <w:pgSz w:w="11906" w:h="16838" w:code="0"/>
      <w:pgMar w:left="1134" w:right="1020" w:top="1701" w:bottom="1701" w:header="850" w:footer="283" w:gutter="0"/>
      <w:titlePg w:val="1"/>
    </w:sectPr>
  </w:body>
</w:document>
</file>

<file path=word/footer1.xml><?xml version="1.0" encoding="utf-8"?>
<w:ftr xmlns:w="http://schemas.openxmlformats.org/wordprocessingml/2006/main" xmlns:r="http://schemas.openxmlformats.org/officeDocument/2006/relationships" xmlns:wps="http://schemas.microsoft.com/office/word/2010/wordprocessingShape" xmlns:mc="http://schemas.openxmlformats.org/markup-compatibility/2006" xmlns:w10="urn:schemas-microsoft-com:office:word" xmlns:v="urn:schemas-microsoft-com:vml" xmlns:wp14="http://schemas.microsoft.com/office/word/2010/wordprocessingDrawing" xmlns:wpg="http://schemas.microsoft.com/office/word/2010/wordprocessingGroup" xmlns:wpc="http://schemas.microsoft.com/office/word/2010/wordprocessingCanvas" xmlns:w14="http://schemas.microsoft.com/office/word/2010/wordml" xmlns:w15="http://schemas.microsoft.com/office/word/2012/wordml" xmlns:cx1="http://schemas.microsoft.com/office/drawing/2015/9/8/chartex" xmlns:cx2="http://schemas.microsoft.com/office/drawing/2015/10/21/chartex" mc:Ignorable="wp14 w14 w15">
  <w:tbl>
    <w:tblPr>
      <w:tblStyle w:val="T1"/>
      <w:tblW w:w="5000" w:type="pct"/>
      <w:jc w:val="left"/>
      <w:tblLayout w:type="fixed"/>
      <w:tblCellMar>
        <w:top w:w="0" w:type="dxa"/>
        <w:left w:w="0" w:type="dxa"/>
        <w:bottom w:w="0" w:type="dxa"/>
        <w:right w:w="0" w:type="dxa"/>
      </w:tblCellMar>
      <w:tblLook w:val="04A0"/>
    </w:tblPr>
    <w:tblGrid>
      <w:gridCol w:w="7056"/>
      <w:gridCol w:w="144"/>
    </w:tblGrid>
    <w:tr>
      <w:trPr/>
      <w:tc>
        <w:tcPr>
          <w:tcW w:w="4900" w:type="pct"/>
          <w:tcBorders>
            <w:top w:val="nil"/>
            <w:left w:val="nil"/>
            <w:bottom w:val="nil"/>
            <w:right w:val="nil"/>
          </w:tcBorders>
          <w:shd w:val="clear" w:color="auto" w:fill="auto"/>
          <w:tcMar>
            <w:top w:w="0" w:type="dxa"/>
            <w:left w:w="0" w:type="dxa"/>
            <w:bottom w:w="0" w:type="dxa"/>
            <w:right w:w="0" w:type="dxa"/>
          </w:tcMar>
          <w:vAlign w:val="bottom"/>
        </w:tcPr>
        <w:tbl>
          <w:tblPr>
            <w:tblW w:w="5000" w:type="pct"/>
            <w:tblCellSpacing w:w="0" w:type="dxa"/>
            <w:tblInd w:w="0" w:type="dxa"/>
            <w:tblBorders>
              <w:top w:val="nil" w:sz="0" w:space="0" w:shadow="0" w:frame="0" w:color="000000"/>
              <w:left w:val="nil" w:sz="0" w:space="0" w:shadow="0" w:frame="0" w:color="000000"/>
              <w:bottom w:val="nil" w:sz="0" w:space="0" w:shadow="0" w:frame="0" w:color="000000"/>
              <w:right w:val="nil" w:sz="0" w:space="0" w:shadow="0" w:frame="0" w:color="000000"/>
              <w:insideH w:val="none" w:sz="0" w:space="0" w:shadow="0" w:frame="0" w:color="auto"/>
              <w:insideV w:val="none" w:sz="0" w:space="0" w:shadow="0" w:frame="0" w:color="auto"/>
            </w:tblBorders>
            <w:tblLayout w:type="autofit"/>
            <w:tblCellMar>
              <w:top w:w="0" w:type="dxa"/>
              <w:left w:w="0" w:type="dxa"/>
              <w:bottom w:w="0" w:type="dxa"/>
              <w:right w:w="0" w:type="dxa"/>
            </w:tblCellMar>
          </w:tblPr>
          <w:tblGrid>
            <w:gridCol w:w="35"/>
            <w:gridCol w:w="70"/>
            <w:gridCol w:w="1183"/>
            <w:gridCol w:w="35"/>
            <w:gridCol w:w="70"/>
            <w:gridCol w:w="1202"/>
            <w:gridCol w:w="35"/>
            <w:gridCol w:w="70"/>
            <w:gridCol w:w="1603"/>
            <w:gridCol w:w="35"/>
            <w:gridCol w:w="70"/>
            <w:gridCol w:w="1468"/>
            <w:gridCol w:w="35"/>
            <w:gridCol w:w="70"/>
            <w:gridCol w:w="1191"/>
            <w:gridCol w:w="28"/>
          </w:tblGrid>
          <w:tr>
            <w:tc>
              <w:tcPr>
                <w:tcW w:w="15" w:type="dxa"/>
                <w:tcBorders>
                  <w:left w:val="single" w:sz="6" w:space="0" w:shadow="0" w:frame="0" w:color="000000"/>
                </w:tcBorders>
                <w:shd w:val="clear" w:color="auto" w:fill="FFFFFF"/>
                <w:vAlign w:val="center"/>
                <w:hideMark/>
              </w:tcPr>
              <w:p>
                <w:pPr>
                  <w:shd w:val="clear" w:fill="FFFFFF"/>
                  <w:ind w:left="0" w:right="0"/>
                  <w:rPr>
                    <w:rFonts w:ascii="Arial" w:hAnsi="Arial" w:cs="Arial"/>
                    <w:color w:val="000000"/>
                    <w:sz w:val="10"/>
                    <w:szCs w:val="10"/>
                    <w:shd w:val="clear" w:color="auto" w:fill="FFFFFF"/>
                  </w:rPr>
                </w:pPr>
                <w:r>
                  <w:rPr>
                    <w:rFonts w:ascii="Arial" w:hAnsi="Arial" w:cs="Arial"/>
                    <w:color w:val="000000"/>
                    <w:sz w:val="10"/>
                    <w:szCs w:val="10"/>
                    <w:shd w:val="clear" w:color="auto" w:fill="FFFFFF"/>
                  </w:rPr>
                  <w:t> </w:t>
                </w:r>
              </w:p>
            </w:tc>
            <w:tc>
              <w:tcPr>
                <w:tcW w:w="50" w:type="pct"/>
                <w:vAlign w:val="center"/>
                <w:hideMark/>
              </w:tcPr>
              <w:p>
                <w:pPr>
                  <w:ind w:left="0" w:right="0"/>
                  <w:rPr>
                    <w:rFonts w:ascii="Arial" w:hAnsi="Arial" w:cs="Arial"/>
                    <w:color w:val="000000"/>
                    <w:sz w:val="10"/>
                    <w:szCs w:val="10"/>
                  </w:rPr>
                </w:pPr>
                <w:r>
                  <w:rPr>
                    <w:rFonts w:ascii="Arial" w:hAnsi="Arial" w:cs="Arial"/>
                    <w:color w:val="000000"/>
                    <w:sz w:val="10"/>
                    <w:szCs w:val="10"/>
                  </w:rPr>
                  <w:t> </w:t>
                </w:r>
              </w:p>
            </w:tc>
            <w:tc>
              <w:tcPr>
                <w:tcW w:w="850" w:type="pct"/>
                <w:vAlign w:val="center"/>
                <w:hideMark/>
              </w:tcPr>
              <w:p>
                <w:pPr>
                  <w:ind w:left="0" w:right="0"/>
                  <w:rPr>
                    <w:rFonts w:ascii="Arial" w:hAnsi="Arial" w:cs="Arial"/>
                    <w:color w:val="000000"/>
                    <w:sz w:val="10"/>
                    <w:szCs w:val="10"/>
                  </w:rPr>
                </w:pPr>
                <w:r>
                  <w:rPr>
                    <w:rFonts w:ascii="Arial" w:hAnsi="Arial" w:cs="Arial"/>
                    <w:b w:val="1"/>
                    <w:color w:val="000000"/>
                    <w:sz w:val="10"/>
                    <w:szCs w:val="10"/>
                  </w:rPr>
                  <w:t>TOTO Europe GmbH</w:t>
                  <w:br w:type="textWrapping"/>
                </w:r>
                <w:r>
                  <w:rPr>
                    <w:rFonts w:ascii="Arial" w:hAnsi="Arial" w:cs="Arial"/>
                    <w:color w:val="000000"/>
                    <w:sz w:val="10"/>
                    <w:szCs w:val="10"/>
                  </w:rPr>
                  <w:t>Zollhof 2</w:t>
                  <w:br w:type="textWrapping"/>
                  <w:t>40221 Düsseldorf</w:t>
                  <w:br w:type="textWrapping"/>
                  <w:t>Germany</w:t>
                </w:r>
              </w:p>
            </w:tc>
            <w:tc>
              <w:tcPr>
                <w:tcW w:w="15" w:type="dxa"/>
                <w:tcBorders>
                  <w:left w:val="single" w:sz="6" w:space="0" w:shadow="0" w:frame="0" w:color="000000"/>
                </w:tcBorders>
                <w:shd w:val="clear" w:color="auto" w:fill="FFFFFF"/>
                <w:vAlign w:val="center"/>
                <w:hideMark/>
              </w:tcPr>
              <w:p>
                <w:pPr>
                  <w:shd w:val="clear" w:fill="FFFFFF"/>
                  <w:ind w:left="0" w:right="0"/>
                  <w:rPr>
                    <w:rFonts w:ascii="Arial" w:hAnsi="Arial" w:cs="Arial"/>
                    <w:color w:val="000000"/>
                    <w:sz w:val="10"/>
                    <w:szCs w:val="10"/>
                    <w:shd w:val="clear" w:color="auto" w:fill="FFFFFF"/>
                  </w:rPr>
                </w:pPr>
                <w:r>
                  <w:rPr>
                    <w:rFonts w:ascii="Arial" w:hAnsi="Arial" w:cs="Arial"/>
                    <w:color w:val="000000"/>
                    <w:sz w:val="10"/>
                    <w:szCs w:val="10"/>
                    <w:shd w:val="clear" w:color="auto" w:fill="FFFFFF"/>
                  </w:rPr>
                  <w:t> </w:t>
                </w:r>
              </w:p>
            </w:tc>
            <w:tc>
              <w:tcPr>
                <w:tcW w:w="50" w:type="pct"/>
                <w:vAlign w:val="center"/>
                <w:hideMark/>
              </w:tcPr>
              <w:p>
                <w:pPr>
                  <w:ind w:left="0" w:right="0"/>
                  <w:rPr>
                    <w:rFonts w:ascii="Arial" w:hAnsi="Arial" w:cs="Arial"/>
                    <w:color w:val="000000"/>
                    <w:sz w:val="10"/>
                    <w:szCs w:val="10"/>
                  </w:rPr>
                </w:pPr>
                <w:r>
                  <w:rPr>
                    <w:rFonts w:ascii="Arial" w:hAnsi="Arial" w:cs="Arial"/>
                    <w:color w:val="000000"/>
                    <w:sz w:val="10"/>
                    <w:szCs w:val="10"/>
                  </w:rPr>
                  <w:t> </w:t>
                </w:r>
              </w:p>
            </w:tc>
            <w:tc>
              <w:tcPr>
                <w:tcW w:w="850" w:type="pct"/>
                <w:vAlign w:val="center"/>
                <w:hideMark/>
              </w:tcPr>
              <w:p>
                <w:pPr>
                  <w:ind w:left="0" w:right="0"/>
                  <w:rPr>
                    <w:rFonts w:ascii="Arial" w:hAnsi="Arial" w:cs="Arial"/>
                    <w:color w:val="000000"/>
                    <w:sz w:val="10"/>
                    <w:szCs w:val="10"/>
                  </w:rPr>
                </w:pPr>
                <w:r>
                  <w:rPr>
                    <w:rFonts w:ascii="Arial" w:hAnsi="Arial" w:cs="Arial"/>
                    <w:color w:val="000000"/>
                    <w:sz w:val="10"/>
                    <w:szCs w:val="10"/>
                  </w:rPr>
                  <w:t>T +49 (0)211 2 73 08-200</w:t>
                  <w:br w:type="textWrapping"/>
                  <w:t>F +49 (0)211 2 73 08-202</w:t>
                  <w:br w:type="textWrapping"/>
                  <w:t>teu.info@toto.com</w:t>
                  <w:br w:type="textWrapping"/>
                  <w:t>eu.toto.com</w:t>
                </w:r>
              </w:p>
            </w:tc>
            <w:tc>
              <w:tcPr>
                <w:tcW w:w="15" w:type="dxa"/>
                <w:tcBorders>
                  <w:left w:val="single" w:sz="6" w:space="0" w:shadow="0" w:frame="0" w:color="000000"/>
                </w:tcBorders>
                <w:shd w:val="clear" w:color="auto" w:fill="FFFFFF"/>
                <w:vAlign w:val="center"/>
                <w:hideMark/>
              </w:tcPr>
              <w:p>
                <w:pPr>
                  <w:shd w:val="clear" w:fill="FFFFFF"/>
                  <w:ind w:left="0" w:right="0"/>
                  <w:rPr>
                    <w:rFonts w:ascii="Arial" w:hAnsi="Arial" w:cs="Arial"/>
                    <w:color w:val="000000"/>
                    <w:sz w:val="10"/>
                    <w:szCs w:val="10"/>
                    <w:shd w:val="clear" w:color="auto" w:fill="FFFFFF"/>
                  </w:rPr>
                </w:pPr>
                <w:r>
                  <w:rPr>
                    <w:rFonts w:ascii="Arial" w:hAnsi="Arial" w:cs="Arial"/>
                    <w:color w:val="000000"/>
                    <w:sz w:val="10"/>
                    <w:szCs w:val="10"/>
                    <w:shd w:val="clear" w:color="auto" w:fill="FFFFFF"/>
                  </w:rPr>
                  <w:t> </w:t>
                </w:r>
              </w:p>
            </w:tc>
            <w:tc>
              <w:tcPr>
                <w:tcW w:w="50" w:type="pct"/>
                <w:vAlign w:val="center"/>
                <w:hideMark/>
              </w:tcPr>
              <w:p>
                <w:pPr>
                  <w:ind w:left="0" w:right="0"/>
                  <w:rPr>
                    <w:rFonts w:ascii="Arial" w:hAnsi="Arial" w:cs="Arial"/>
                    <w:color w:val="000000"/>
                    <w:sz w:val="10"/>
                    <w:szCs w:val="10"/>
                  </w:rPr>
                </w:pPr>
                <w:r>
                  <w:rPr>
                    <w:rFonts w:ascii="Arial" w:hAnsi="Arial" w:cs="Arial"/>
                    <w:color w:val="000000"/>
                    <w:sz w:val="10"/>
                    <w:szCs w:val="10"/>
                  </w:rPr>
                  <w:t> </w:t>
                </w:r>
              </w:p>
            </w:tc>
            <w:tc>
              <w:tcPr>
                <w:tcW w:w="1150" w:type="pct"/>
                <w:vAlign w:val="center"/>
                <w:hideMark/>
              </w:tcPr>
              <w:p>
                <w:pPr>
                  <w:ind w:left="0" w:right="0"/>
                  <w:rPr>
                    <w:rFonts w:ascii="Arial" w:hAnsi="Arial" w:cs="Arial"/>
                    <w:color w:val="000000"/>
                    <w:sz w:val="10"/>
                    <w:szCs w:val="10"/>
                  </w:rPr>
                </w:pPr>
                <w:r>
                  <w:rPr>
                    <w:rFonts w:ascii="Arial" w:hAnsi="Arial" w:cs="Arial"/>
                    <w:color w:val="000000"/>
                    <w:sz w:val="10"/>
                    <w:szCs w:val="10"/>
                  </w:rPr>
                  <w:t>Commerzbank AG Essen</w:t>
                  <w:br w:type="textWrapping"/>
                  <w:t>BLZ: 360 400 39 . KTO: 150 6211</w:t>
                  <w:br w:type="textWrapping"/>
                  <w:t>IBAN: DE 32 36040039 0150621100</w:t>
                  <w:br w:type="textWrapping"/>
                  <w:t>BIC: COBADEFF360</w:t>
                </w:r>
              </w:p>
            </w:tc>
            <w:tc>
              <w:tcPr>
                <w:tcW w:w="15" w:type="dxa"/>
                <w:tcBorders>
                  <w:left w:val="single" w:sz="6" w:space="0" w:shadow="0" w:frame="0" w:color="000000"/>
                </w:tcBorders>
                <w:shd w:val="clear" w:color="auto" w:fill="FFFFFF"/>
                <w:vAlign w:val="center"/>
                <w:hideMark/>
              </w:tcPr>
              <w:p>
                <w:pPr>
                  <w:shd w:val="clear" w:fill="FFFFFF"/>
                  <w:ind w:left="0" w:right="0"/>
                  <w:rPr>
                    <w:rFonts w:ascii="Arial" w:hAnsi="Arial" w:cs="Arial"/>
                    <w:color w:val="000000"/>
                    <w:sz w:val="10"/>
                    <w:szCs w:val="10"/>
                    <w:shd w:val="clear" w:color="auto" w:fill="FFFFFF"/>
                  </w:rPr>
                </w:pPr>
                <w:r>
                  <w:rPr>
                    <w:rFonts w:ascii="Arial" w:hAnsi="Arial" w:cs="Arial"/>
                    <w:color w:val="000000"/>
                    <w:sz w:val="10"/>
                    <w:szCs w:val="10"/>
                    <w:shd w:val="clear" w:color="auto" w:fill="FFFFFF"/>
                  </w:rPr>
                  <w:t> </w:t>
                </w:r>
              </w:p>
            </w:tc>
            <w:tc>
              <w:tcPr>
                <w:tcW w:w="50" w:type="pct"/>
                <w:vAlign w:val="center"/>
                <w:hideMark/>
              </w:tcPr>
              <w:p>
                <w:pPr>
                  <w:ind w:left="0" w:right="0"/>
                  <w:rPr>
                    <w:rFonts w:ascii="Arial" w:hAnsi="Arial" w:cs="Arial"/>
                    <w:color w:val="000000"/>
                    <w:sz w:val="10"/>
                    <w:szCs w:val="10"/>
                  </w:rPr>
                </w:pPr>
                <w:r>
                  <w:rPr>
                    <w:rFonts w:ascii="Arial" w:hAnsi="Arial" w:cs="Arial"/>
                    <w:color w:val="000000"/>
                    <w:sz w:val="10"/>
                    <w:szCs w:val="10"/>
                  </w:rPr>
                  <w:t> </w:t>
                </w:r>
              </w:p>
            </w:tc>
            <w:tc>
              <w:tcPr>
                <w:tcW w:w="1050" w:type="pct"/>
                <w:vAlign w:val="center"/>
                <w:hideMark/>
              </w:tcPr>
              <w:p>
                <w:pPr>
                  <w:ind w:left="0" w:right="0"/>
                  <w:rPr>
                    <w:rFonts w:ascii="Arial" w:hAnsi="Arial" w:cs="Arial"/>
                    <w:color w:val="000000"/>
                    <w:sz w:val="10"/>
                    <w:szCs w:val="10"/>
                  </w:rPr>
                </w:pPr>
                <w:r>
                  <w:rPr>
                    <w:rFonts w:ascii="Arial" w:hAnsi="Arial" w:cs="Arial"/>
                    <w:color w:val="000000"/>
                    <w:sz w:val="10"/>
                    <w:szCs w:val="10"/>
                  </w:rPr>
                  <w:t>AG Düsseldorf . HRB 24827</w:t>
                  <w:br w:type="textWrapping"/>
                  <w:t>Geschäftsführer:</w:t>
                  <w:br w:type="textWrapping"/>
                  <w:t>Tatsuhiko Yasaka</w:t>
                  <w:br w:type="textWrapping"/>
                  <w:t>  </w:t>
                </w:r>
              </w:p>
            </w:tc>
            <w:tc>
              <w:tcPr>
                <w:tcW w:w="15" w:type="dxa"/>
                <w:tcBorders>
                  <w:left w:val="single" w:sz="6" w:space="0" w:shadow="0" w:frame="0" w:color="000000"/>
                </w:tcBorders>
                <w:shd w:val="clear" w:color="auto" w:fill="FFFFFF"/>
                <w:vAlign w:val="center"/>
                <w:hideMark/>
              </w:tcPr>
              <w:p>
                <w:pPr>
                  <w:shd w:val="clear" w:fill="FFFFFF"/>
                  <w:ind w:left="0" w:right="0"/>
                  <w:rPr>
                    <w:rFonts w:ascii="Arial" w:hAnsi="Arial" w:cs="Arial"/>
                    <w:color w:val="000000"/>
                    <w:sz w:val="10"/>
                    <w:szCs w:val="10"/>
                    <w:shd w:val="clear" w:color="auto" w:fill="FFFFFF"/>
                  </w:rPr>
                </w:pPr>
                <w:r>
                  <w:rPr>
                    <w:rFonts w:ascii="Arial" w:hAnsi="Arial" w:cs="Arial"/>
                    <w:color w:val="000000"/>
                    <w:sz w:val="10"/>
                    <w:szCs w:val="10"/>
                    <w:shd w:val="clear" w:color="auto" w:fill="FFFFFF"/>
                  </w:rPr>
                  <w:t> </w:t>
                </w:r>
              </w:p>
            </w:tc>
            <w:tc>
              <w:tcPr>
                <w:tcW w:w="50" w:type="pct"/>
                <w:vAlign w:val="center"/>
                <w:hideMark/>
              </w:tcPr>
              <w:p>
                <w:pPr>
                  <w:ind w:left="0" w:right="0"/>
                  <w:rPr>
                    <w:rFonts w:ascii="Arial" w:hAnsi="Arial" w:cs="Arial"/>
                    <w:color w:val="000000"/>
                    <w:sz w:val="10"/>
                    <w:szCs w:val="10"/>
                  </w:rPr>
                </w:pPr>
                <w:r>
                  <w:rPr>
                    <w:rFonts w:ascii="Arial" w:hAnsi="Arial" w:cs="Arial"/>
                    <w:color w:val="000000"/>
                    <w:sz w:val="10"/>
                    <w:szCs w:val="10"/>
                  </w:rPr>
                  <w:t> </w:t>
                </w:r>
              </w:p>
            </w:tc>
            <w:tc>
              <w:tcPr>
                <w:tcW w:w="850" w:type="pct"/>
                <w:vAlign w:val="center"/>
                <w:hideMark/>
              </w:tcPr>
              <w:p>
                <w:pPr>
                  <w:ind w:left="0" w:right="0"/>
                  <w:rPr>
                    <w:rFonts w:ascii="Arial" w:hAnsi="Arial" w:cs="Arial"/>
                    <w:color w:val="000000"/>
                    <w:sz w:val="10"/>
                    <w:szCs w:val="10"/>
                  </w:rPr>
                </w:pPr>
                <w:r>
                  <w:rPr>
                    <w:rFonts w:ascii="Arial" w:hAnsi="Arial" w:cs="Arial"/>
                    <w:color w:val="000000"/>
                    <w:sz w:val="10"/>
                    <w:szCs w:val="10"/>
                  </w:rPr>
                  <w:t>WEEE-Reg.-Nr. DE 88787165</w:t>
                  <w:br w:type="textWrapping"/>
                  <w:t>USTID-NR: DE258501442</w:t>
                  <w:br w:type="textWrapping"/>
                  <w:t>ST-NR: 106/5727/1323</w:t>
                  <w:br w:type="textWrapping"/>
                  <w:t>  </w:t>
                </w:r>
              </w:p>
            </w:tc>
            <w:tc>
              <w:tcPr>
                <w:tcW w:w="0" w:type="auto"/>
                <w:vAlign w:val="center"/>
                <w:hideMark/>
              </w:tcPr>
              <w:p>
                <w:pPr>
                  <w:ind w:left="0" w:right="0"/>
                  <w:rPr>
                    <w:rFonts w:ascii="Arial" w:hAnsi="Arial" w:cs="Arial"/>
                    <w:color w:val="000000"/>
                    <w:sz w:val="10"/>
                    <w:szCs w:val="10"/>
                  </w:rPr>
                </w:pPr>
                <w:r>
                  <w:rPr>
                    <w:rFonts w:ascii="Arial" w:hAnsi="Arial" w:cs="Arial"/>
                    <w:color w:val="000000"/>
                    <w:sz w:val="10"/>
                    <w:szCs w:val="10"/>
                  </w:rPr>
                  <w:t> </w:t>
                </w:r>
              </w:p>
            </w:tc>
          </w:tr>
        </w:tbl>
        <w:p>
          <w:pPr>
            <w:rPr>
              <w:rFonts w:ascii="Arial" w:hAnsi="Arial" w:cs="Arial"/>
              <w:color w:val="000000"/>
              <w:sz w:val="10"/>
              <w:szCs w:val="10"/>
            </w:rPr>
          </w:pPr>
        </w:p>
      </w:tc>
      <w:tc>
        <w:tcPr>
          <w:tcW w:w="100" w:type="pct"/>
          <w:tcBorders>
            <w:top w:val="nil"/>
            <w:left w:val="nil"/>
            <w:bottom w:val="nil"/>
            <w:right w:val="nil"/>
          </w:tcBorders>
          <w:shd w:val="clear" w:color="auto" w:fill="auto"/>
          <w:tcMar>
            <w:top w:w="0" w:type="dxa"/>
            <w:left w:w="0" w:type="dxa"/>
            <w:bottom w:w="0" w:type="dxa"/>
            <w:right w:w="0" w:type="dxa"/>
          </w:tcMar>
          <w:vAlign w:val="bottom"/>
        </w:tcPr>
        <w:p>
          <w:pPr>
            <w:rPr>
              <w:rFonts w:ascii="Arial" w:hAnsi="Arial" w:cs="Arial"/>
              <w:color w:val="000000"/>
              <w:sz w:val="10"/>
              <w:szCs w:val="10"/>
            </w:rPr>
          </w:pPr>
        </w:p>
      </w:tc>
    </w:tr>
  </w:tbl>
  <w:p>
    <w:pPr>
      <w:rPr>
        <w:rFonts w:ascii="Arial" w:hAnsi="Arial" w:cs="Arial"/>
        <w:color w:val="000000"/>
        <w:sz w:val="2"/>
        <w:szCs w:val="2"/>
      </w:rPr>
    </w:pPr>
  </w:p>
</w:ftr>
</file>

<file path=word/footer2.xml><?xml version="1.0" encoding="utf-8"?>
<w:ftr xmlns:w="http://schemas.openxmlformats.org/wordprocessingml/2006/main" xmlns:r="http://schemas.openxmlformats.org/officeDocument/2006/relationships" xmlns:wps="http://schemas.microsoft.com/office/word/2010/wordprocessingShape" xmlns:mc="http://schemas.openxmlformats.org/markup-compatibility/2006" xmlns:w10="urn:schemas-microsoft-com:office:word" xmlns:v="urn:schemas-microsoft-com:vml" xmlns:wp14="http://schemas.microsoft.com/office/word/2010/wordprocessingDrawing" xmlns:wpg="http://schemas.microsoft.com/office/word/2010/wordprocessingGroup" xmlns:wpc="http://schemas.microsoft.com/office/word/2010/wordprocessingCanvas" xmlns:w14="http://schemas.microsoft.com/office/word/2010/wordml" xmlns:w15="http://schemas.microsoft.com/office/word/2012/wordml" xmlns:cx1="http://schemas.microsoft.com/office/drawing/2015/9/8/chartex" xmlns:cx2="http://schemas.microsoft.com/office/drawing/2015/10/21/chartex" mc:Ignorable="wp14 w14 w15">
  <w:tbl>
    <w:tblPr>
      <w:tblStyle w:val="T1"/>
      <w:tblW w:w="5000" w:type="pct"/>
      <w:jc w:val="left"/>
      <w:tblLayout w:type="fixed"/>
      <w:tblLook w:val="04A0"/>
    </w:tblPr>
    <w:tblGrid>
      <w:gridCol w:w="7056"/>
      <w:gridCol w:w="144"/>
    </w:tblGrid>
    <w:tr>
      <w:trPr/>
      <w:tc>
        <w:tcPr>
          <w:tcW w:w="4900" w:type="pct"/>
          <w:tcBorders>
            <w:top w:val="nil"/>
            <w:left w:val="nil"/>
            <w:bottom w:val="nil"/>
            <w:right w:val="nil"/>
          </w:tcBorders>
          <w:shd w:val="clear" w:color="auto" w:fill="auto"/>
          <w:tcMar>
            <w:top w:w="0" w:type="dxa"/>
            <w:left w:w="0" w:type="dxa"/>
            <w:bottom w:w="0" w:type="dxa"/>
            <w:right w:w="0" w:type="dxa"/>
          </w:tcMar>
          <w:vAlign w:val="bottom"/>
        </w:tcPr>
        <w:tbl>
          <w:tblPr>
            <w:tblW w:w="5000" w:type="pct"/>
            <w:tblCellSpacing w:w="0" w:type="dxa"/>
            <w:tblInd w:w="0" w:type="dxa"/>
            <w:tblBorders>
              <w:top w:val="nil" w:sz="0" w:space="0" w:shadow="0" w:frame="0" w:color="000000"/>
              <w:left w:val="nil" w:sz="0" w:space="0" w:shadow="0" w:frame="0" w:color="000000"/>
              <w:bottom w:val="nil" w:sz="0" w:space="0" w:shadow="0" w:frame="0" w:color="000000"/>
              <w:right w:val="nil" w:sz="0" w:space="0" w:shadow="0" w:frame="0" w:color="000000"/>
              <w:insideH w:val="none" w:sz="0" w:space="0" w:shadow="0" w:frame="0" w:color="auto"/>
              <w:insideV w:val="none" w:sz="0" w:space="0" w:shadow="0" w:frame="0" w:color="auto"/>
            </w:tblBorders>
            <w:tblLayout w:type="autofit"/>
            <w:tblCellMar>
              <w:top w:w="0" w:type="dxa"/>
              <w:left w:w="0" w:type="dxa"/>
              <w:bottom w:w="0" w:type="dxa"/>
              <w:right w:w="0" w:type="dxa"/>
            </w:tblCellMar>
          </w:tblPr>
          <w:tblGrid>
            <w:gridCol w:w="35"/>
            <w:gridCol w:w="70"/>
            <w:gridCol w:w="1183"/>
            <w:gridCol w:w="35"/>
            <w:gridCol w:w="70"/>
            <w:gridCol w:w="1202"/>
            <w:gridCol w:w="35"/>
            <w:gridCol w:w="70"/>
            <w:gridCol w:w="1603"/>
            <w:gridCol w:w="35"/>
            <w:gridCol w:w="70"/>
            <w:gridCol w:w="1468"/>
            <w:gridCol w:w="35"/>
            <w:gridCol w:w="70"/>
            <w:gridCol w:w="1191"/>
            <w:gridCol w:w="28"/>
          </w:tblGrid>
          <w:tr>
            <w:tc>
              <w:tcPr>
                <w:tcW w:w="15" w:type="dxa"/>
                <w:tcBorders>
                  <w:left w:val="single" w:sz="6" w:space="0" w:shadow="0" w:frame="0" w:color="000000"/>
                </w:tcBorders>
                <w:shd w:val="clear" w:color="auto" w:fill="FFFFFF"/>
                <w:vAlign w:val="center"/>
                <w:hideMark/>
              </w:tcPr>
              <w:p>
                <w:pPr>
                  <w:shd w:val="clear" w:fill="FFFFFF"/>
                  <w:ind w:left="0" w:right="0"/>
                  <w:rPr>
                    <w:rFonts w:ascii="Arial" w:hAnsi="Arial" w:cs="Arial"/>
                    <w:color w:val="000000"/>
                    <w:sz w:val="10"/>
                    <w:szCs w:val="10"/>
                    <w:shd w:val="clear" w:color="auto" w:fill="FFFFFF"/>
                  </w:rPr>
                </w:pPr>
                <w:r>
                  <w:rPr>
                    <w:rFonts w:ascii="Arial" w:hAnsi="Arial" w:cs="Arial"/>
                    <w:color w:val="000000"/>
                    <w:sz w:val="10"/>
                    <w:szCs w:val="10"/>
                    <w:shd w:val="clear" w:color="auto" w:fill="FFFFFF"/>
                  </w:rPr>
                  <w:t> </w:t>
                </w:r>
              </w:p>
            </w:tc>
            <w:tc>
              <w:tcPr>
                <w:tcW w:w="50" w:type="pct"/>
                <w:vAlign w:val="center"/>
                <w:hideMark/>
              </w:tcPr>
              <w:p>
                <w:pPr>
                  <w:ind w:left="0" w:right="0"/>
                  <w:rPr>
                    <w:rFonts w:ascii="Arial" w:hAnsi="Arial" w:cs="Arial"/>
                    <w:color w:val="000000"/>
                    <w:sz w:val="10"/>
                    <w:szCs w:val="10"/>
                  </w:rPr>
                </w:pPr>
                <w:r>
                  <w:rPr>
                    <w:rFonts w:ascii="Arial" w:hAnsi="Arial" w:cs="Arial"/>
                    <w:color w:val="000000"/>
                    <w:sz w:val="10"/>
                    <w:szCs w:val="10"/>
                  </w:rPr>
                  <w:t> </w:t>
                </w:r>
              </w:p>
            </w:tc>
            <w:tc>
              <w:tcPr>
                <w:tcW w:w="850" w:type="pct"/>
                <w:vAlign w:val="center"/>
                <w:hideMark/>
              </w:tcPr>
              <w:p>
                <w:pPr>
                  <w:ind w:left="0" w:right="0"/>
                  <w:rPr>
                    <w:rFonts w:ascii="Arial" w:hAnsi="Arial" w:cs="Arial"/>
                    <w:color w:val="000000"/>
                    <w:sz w:val="10"/>
                    <w:szCs w:val="10"/>
                  </w:rPr>
                </w:pPr>
                <w:r>
                  <w:rPr>
                    <w:rFonts w:ascii="Arial" w:hAnsi="Arial" w:cs="Arial"/>
                    <w:b w:val="1"/>
                    <w:color w:val="000000"/>
                    <w:sz w:val="10"/>
                    <w:szCs w:val="10"/>
                  </w:rPr>
                  <w:t>TOTO Europe GmbH</w:t>
                  <w:br w:type="textWrapping"/>
                </w:r>
                <w:r>
                  <w:rPr>
                    <w:rFonts w:ascii="Arial" w:hAnsi="Arial" w:cs="Arial"/>
                    <w:color w:val="000000"/>
                    <w:sz w:val="10"/>
                    <w:szCs w:val="10"/>
                  </w:rPr>
                  <w:t>Zollhof 2</w:t>
                  <w:br w:type="textWrapping"/>
                  <w:t>40221 Düsseldorf</w:t>
                  <w:br w:type="textWrapping"/>
                  <w:t>Germany</w:t>
                </w:r>
              </w:p>
            </w:tc>
            <w:tc>
              <w:tcPr>
                <w:tcW w:w="15" w:type="dxa"/>
                <w:tcBorders>
                  <w:left w:val="single" w:sz="6" w:space="0" w:shadow="0" w:frame="0" w:color="000000"/>
                </w:tcBorders>
                <w:shd w:val="clear" w:color="auto" w:fill="FFFFFF"/>
                <w:vAlign w:val="center"/>
                <w:hideMark/>
              </w:tcPr>
              <w:p>
                <w:pPr>
                  <w:shd w:val="clear" w:fill="FFFFFF"/>
                  <w:ind w:left="0" w:right="0"/>
                  <w:rPr>
                    <w:rFonts w:ascii="Arial" w:hAnsi="Arial" w:cs="Arial"/>
                    <w:color w:val="000000"/>
                    <w:sz w:val="10"/>
                    <w:szCs w:val="10"/>
                    <w:shd w:val="clear" w:color="auto" w:fill="FFFFFF"/>
                  </w:rPr>
                </w:pPr>
                <w:r>
                  <w:rPr>
                    <w:rFonts w:ascii="Arial" w:hAnsi="Arial" w:cs="Arial"/>
                    <w:color w:val="000000"/>
                    <w:sz w:val="10"/>
                    <w:szCs w:val="10"/>
                    <w:shd w:val="clear" w:color="auto" w:fill="FFFFFF"/>
                  </w:rPr>
                  <w:t> </w:t>
                </w:r>
              </w:p>
            </w:tc>
            <w:tc>
              <w:tcPr>
                <w:tcW w:w="50" w:type="pct"/>
                <w:vAlign w:val="center"/>
                <w:hideMark/>
              </w:tcPr>
              <w:p>
                <w:pPr>
                  <w:ind w:left="0" w:right="0"/>
                  <w:rPr>
                    <w:rFonts w:ascii="Arial" w:hAnsi="Arial" w:cs="Arial"/>
                    <w:color w:val="000000"/>
                    <w:sz w:val="10"/>
                    <w:szCs w:val="10"/>
                  </w:rPr>
                </w:pPr>
                <w:r>
                  <w:rPr>
                    <w:rFonts w:ascii="Arial" w:hAnsi="Arial" w:cs="Arial"/>
                    <w:color w:val="000000"/>
                    <w:sz w:val="10"/>
                    <w:szCs w:val="10"/>
                  </w:rPr>
                  <w:t> </w:t>
                </w:r>
              </w:p>
            </w:tc>
            <w:tc>
              <w:tcPr>
                <w:tcW w:w="850" w:type="pct"/>
                <w:vAlign w:val="center"/>
                <w:hideMark/>
              </w:tcPr>
              <w:p>
                <w:pPr>
                  <w:ind w:left="0" w:right="0"/>
                  <w:rPr>
                    <w:rFonts w:ascii="Arial" w:hAnsi="Arial" w:cs="Arial"/>
                    <w:color w:val="000000"/>
                    <w:sz w:val="10"/>
                    <w:szCs w:val="10"/>
                  </w:rPr>
                </w:pPr>
                <w:r>
                  <w:rPr>
                    <w:rFonts w:ascii="Arial" w:hAnsi="Arial" w:cs="Arial"/>
                    <w:color w:val="000000"/>
                    <w:sz w:val="10"/>
                    <w:szCs w:val="10"/>
                  </w:rPr>
                  <w:t>T +49 (0)211 2 73 08-200</w:t>
                  <w:br w:type="textWrapping"/>
                  <w:t>F +49 (0)211 2 73 08-202</w:t>
                  <w:br w:type="textWrapping"/>
                  <w:t>teu.info@toto.com</w:t>
                  <w:br w:type="textWrapping"/>
                  <w:t>eu.toto.com</w:t>
                </w:r>
              </w:p>
            </w:tc>
            <w:tc>
              <w:tcPr>
                <w:tcW w:w="15" w:type="dxa"/>
                <w:tcBorders>
                  <w:left w:val="single" w:sz="6" w:space="0" w:shadow="0" w:frame="0" w:color="000000"/>
                </w:tcBorders>
                <w:shd w:val="clear" w:color="auto" w:fill="FFFFFF"/>
                <w:vAlign w:val="center"/>
                <w:hideMark/>
              </w:tcPr>
              <w:p>
                <w:pPr>
                  <w:shd w:val="clear" w:fill="FFFFFF"/>
                  <w:ind w:left="0" w:right="0"/>
                  <w:rPr>
                    <w:rFonts w:ascii="Arial" w:hAnsi="Arial" w:cs="Arial"/>
                    <w:color w:val="000000"/>
                    <w:sz w:val="10"/>
                    <w:szCs w:val="10"/>
                    <w:shd w:val="clear" w:color="auto" w:fill="FFFFFF"/>
                  </w:rPr>
                </w:pPr>
                <w:r>
                  <w:rPr>
                    <w:rFonts w:ascii="Arial" w:hAnsi="Arial" w:cs="Arial"/>
                    <w:color w:val="000000"/>
                    <w:sz w:val="10"/>
                    <w:szCs w:val="10"/>
                    <w:shd w:val="clear" w:color="auto" w:fill="FFFFFF"/>
                  </w:rPr>
                  <w:t> </w:t>
                </w:r>
              </w:p>
            </w:tc>
            <w:tc>
              <w:tcPr>
                <w:tcW w:w="50" w:type="pct"/>
                <w:vAlign w:val="center"/>
                <w:hideMark/>
              </w:tcPr>
              <w:p>
                <w:pPr>
                  <w:ind w:left="0" w:right="0"/>
                  <w:rPr>
                    <w:rFonts w:ascii="Arial" w:hAnsi="Arial" w:cs="Arial"/>
                    <w:color w:val="000000"/>
                    <w:sz w:val="10"/>
                    <w:szCs w:val="10"/>
                  </w:rPr>
                </w:pPr>
                <w:r>
                  <w:rPr>
                    <w:rFonts w:ascii="Arial" w:hAnsi="Arial" w:cs="Arial"/>
                    <w:color w:val="000000"/>
                    <w:sz w:val="10"/>
                    <w:szCs w:val="10"/>
                  </w:rPr>
                  <w:t> </w:t>
                </w:r>
              </w:p>
            </w:tc>
            <w:tc>
              <w:tcPr>
                <w:tcW w:w="1150" w:type="pct"/>
                <w:vAlign w:val="center"/>
                <w:hideMark/>
              </w:tcPr>
              <w:p>
                <w:pPr>
                  <w:ind w:left="0" w:right="0"/>
                  <w:rPr>
                    <w:rFonts w:ascii="Arial" w:hAnsi="Arial" w:cs="Arial"/>
                    <w:color w:val="000000"/>
                    <w:sz w:val="10"/>
                    <w:szCs w:val="10"/>
                  </w:rPr>
                </w:pPr>
                <w:r>
                  <w:rPr>
                    <w:rFonts w:ascii="Arial" w:hAnsi="Arial" w:cs="Arial"/>
                    <w:color w:val="000000"/>
                    <w:sz w:val="10"/>
                    <w:szCs w:val="10"/>
                  </w:rPr>
                  <w:t>Commerzbank AG Essen</w:t>
                  <w:br w:type="textWrapping"/>
                  <w:t>BLZ: 360 400 39 . KTO: 150 6211</w:t>
                  <w:br w:type="textWrapping"/>
                  <w:t>IBAN: DE 32 36040039 0150621100</w:t>
                  <w:br w:type="textWrapping"/>
                  <w:t>BIC: COBADEFF360</w:t>
                </w:r>
              </w:p>
            </w:tc>
            <w:tc>
              <w:tcPr>
                <w:tcW w:w="15" w:type="dxa"/>
                <w:tcBorders>
                  <w:left w:val="single" w:sz="6" w:space="0" w:shadow="0" w:frame="0" w:color="000000"/>
                </w:tcBorders>
                <w:shd w:val="clear" w:color="auto" w:fill="FFFFFF"/>
                <w:vAlign w:val="center"/>
                <w:hideMark/>
              </w:tcPr>
              <w:p>
                <w:pPr>
                  <w:shd w:val="clear" w:fill="FFFFFF"/>
                  <w:ind w:left="0" w:right="0"/>
                  <w:rPr>
                    <w:rFonts w:ascii="Arial" w:hAnsi="Arial" w:cs="Arial"/>
                    <w:color w:val="000000"/>
                    <w:sz w:val="10"/>
                    <w:szCs w:val="10"/>
                    <w:shd w:val="clear" w:color="auto" w:fill="FFFFFF"/>
                  </w:rPr>
                </w:pPr>
                <w:r>
                  <w:rPr>
                    <w:rFonts w:ascii="Arial" w:hAnsi="Arial" w:cs="Arial"/>
                    <w:color w:val="000000"/>
                    <w:sz w:val="10"/>
                    <w:szCs w:val="10"/>
                    <w:shd w:val="clear" w:color="auto" w:fill="FFFFFF"/>
                  </w:rPr>
                  <w:t> </w:t>
                </w:r>
              </w:p>
            </w:tc>
            <w:tc>
              <w:tcPr>
                <w:tcW w:w="50" w:type="pct"/>
                <w:vAlign w:val="center"/>
                <w:hideMark/>
              </w:tcPr>
              <w:p>
                <w:pPr>
                  <w:ind w:left="0" w:right="0"/>
                  <w:rPr>
                    <w:rFonts w:ascii="Arial" w:hAnsi="Arial" w:cs="Arial"/>
                    <w:color w:val="000000"/>
                    <w:sz w:val="10"/>
                    <w:szCs w:val="10"/>
                  </w:rPr>
                </w:pPr>
                <w:r>
                  <w:rPr>
                    <w:rFonts w:ascii="Arial" w:hAnsi="Arial" w:cs="Arial"/>
                    <w:color w:val="000000"/>
                    <w:sz w:val="10"/>
                    <w:szCs w:val="10"/>
                  </w:rPr>
                  <w:t> </w:t>
                </w:r>
              </w:p>
            </w:tc>
            <w:tc>
              <w:tcPr>
                <w:tcW w:w="1050" w:type="pct"/>
                <w:vAlign w:val="center"/>
                <w:hideMark/>
              </w:tcPr>
              <w:p>
                <w:pPr>
                  <w:ind w:left="0" w:right="0"/>
                  <w:rPr>
                    <w:rFonts w:ascii="Arial" w:hAnsi="Arial" w:cs="Arial"/>
                    <w:color w:val="000000"/>
                    <w:sz w:val="10"/>
                    <w:szCs w:val="10"/>
                  </w:rPr>
                </w:pPr>
                <w:r>
                  <w:rPr>
                    <w:rFonts w:ascii="Arial" w:hAnsi="Arial" w:cs="Arial"/>
                    <w:color w:val="000000"/>
                    <w:sz w:val="10"/>
                    <w:szCs w:val="10"/>
                  </w:rPr>
                  <w:t>AG Düsseldorf . HRB 24827</w:t>
                  <w:br w:type="textWrapping"/>
                  <w:t>Geschäftsführer:</w:t>
                  <w:br w:type="textWrapping"/>
                  <w:t>Tatsuhiko Yasaka</w:t>
                  <w:br w:type="textWrapping"/>
                  <w:t>  </w:t>
                </w:r>
              </w:p>
            </w:tc>
            <w:tc>
              <w:tcPr>
                <w:tcW w:w="15" w:type="dxa"/>
                <w:tcBorders>
                  <w:left w:val="single" w:sz="6" w:space="0" w:shadow="0" w:frame="0" w:color="000000"/>
                </w:tcBorders>
                <w:shd w:val="clear" w:color="auto" w:fill="FFFFFF"/>
                <w:vAlign w:val="center"/>
                <w:hideMark/>
              </w:tcPr>
              <w:p>
                <w:pPr>
                  <w:shd w:val="clear" w:fill="FFFFFF"/>
                  <w:ind w:left="0" w:right="0"/>
                  <w:rPr>
                    <w:rFonts w:ascii="Arial" w:hAnsi="Arial" w:cs="Arial"/>
                    <w:color w:val="000000"/>
                    <w:sz w:val="10"/>
                    <w:szCs w:val="10"/>
                    <w:shd w:val="clear" w:color="auto" w:fill="FFFFFF"/>
                  </w:rPr>
                </w:pPr>
                <w:r>
                  <w:rPr>
                    <w:rFonts w:ascii="Arial" w:hAnsi="Arial" w:cs="Arial"/>
                    <w:color w:val="000000"/>
                    <w:sz w:val="10"/>
                    <w:szCs w:val="10"/>
                    <w:shd w:val="clear" w:color="auto" w:fill="FFFFFF"/>
                  </w:rPr>
                  <w:t> </w:t>
                </w:r>
              </w:p>
            </w:tc>
            <w:tc>
              <w:tcPr>
                <w:tcW w:w="50" w:type="pct"/>
                <w:vAlign w:val="center"/>
                <w:hideMark/>
              </w:tcPr>
              <w:p>
                <w:pPr>
                  <w:ind w:left="0" w:right="0"/>
                  <w:rPr>
                    <w:rFonts w:ascii="Arial" w:hAnsi="Arial" w:cs="Arial"/>
                    <w:color w:val="000000"/>
                    <w:sz w:val="10"/>
                    <w:szCs w:val="10"/>
                  </w:rPr>
                </w:pPr>
                <w:r>
                  <w:rPr>
                    <w:rFonts w:ascii="Arial" w:hAnsi="Arial" w:cs="Arial"/>
                    <w:color w:val="000000"/>
                    <w:sz w:val="10"/>
                    <w:szCs w:val="10"/>
                  </w:rPr>
                  <w:t> </w:t>
                </w:r>
              </w:p>
            </w:tc>
            <w:tc>
              <w:tcPr>
                <w:tcW w:w="850" w:type="pct"/>
                <w:vAlign w:val="center"/>
                <w:hideMark/>
              </w:tcPr>
              <w:p>
                <w:pPr>
                  <w:ind w:left="0" w:right="0"/>
                  <w:rPr>
                    <w:rFonts w:ascii="Arial" w:hAnsi="Arial" w:cs="Arial"/>
                    <w:color w:val="000000"/>
                    <w:sz w:val="10"/>
                    <w:szCs w:val="10"/>
                  </w:rPr>
                </w:pPr>
                <w:r>
                  <w:rPr>
                    <w:rFonts w:ascii="Arial" w:hAnsi="Arial" w:cs="Arial"/>
                    <w:color w:val="000000"/>
                    <w:sz w:val="10"/>
                    <w:szCs w:val="10"/>
                  </w:rPr>
                  <w:t>WEEE-Reg.-Nr. DE 88787165</w:t>
                  <w:br w:type="textWrapping"/>
                  <w:t>USTID-NR: DE258501442</w:t>
                  <w:br w:type="textWrapping"/>
                  <w:t>ST-NR: 106/5727/1323</w:t>
                  <w:br w:type="textWrapping"/>
                  <w:t>  </w:t>
                </w:r>
              </w:p>
            </w:tc>
            <w:tc>
              <w:tcPr>
                <w:tcW w:w="0" w:type="auto"/>
                <w:vAlign w:val="center"/>
                <w:hideMark/>
              </w:tcPr>
              <w:p>
                <w:pPr>
                  <w:ind w:left="0" w:right="0"/>
                  <w:rPr>
                    <w:rFonts w:ascii="Arial" w:hAnsi="Arial" w:cs="Arial"/>
                    <w:color w:val="000000"/>
                    <w:sz w:val="10"/>
                    <w:szCs w:val="10"/>
                  </w:rPr>
                </w:pPr>
                <w:r>
                  <w:rPr>
                    <w:rFonts w:ascii="Arial" w:hAnsi="Arial" w:cs="Arial"/>
                    <w:color w:val="000000"/>
                    <w:sz w:val="10"/>
                    <w:szCs w:val="10"/>
                  </w:rPr>
                  <w:t> </w:t>
                </w:r>
              </w:p>
            </w:tc>
          </w:tr>
        </w:tbl>
        <w:p>
          <w:pPr>
            <w:rPr>
              <w:rFonts w:ascii="Arial" w:hAnsi="Arial" w:cs="Arial"/>
              <w:color w:val="000000"/>
              <w:sz w:val="10"/>
              <w:szCs w:val="10"/>
            </w:rPr>
          </w:pPr>
        </w:p>
      </w:tc>
      <w:tc>
        <w:tcPr>
          <w:tcW w:w="100" w:type="pct"/>
          <w:tcBorders>
            <w:top w:val="nil"/>
            <w:left w:val="nil"/>
            <w:bottom w:val="nil"/>
            <w:right w:val="nil"/>
          </w:tcBorders>
          <w:shd w:val="clear" w:color="auto" w:fill="auto"/>
          <w:tcMar>
            <w:top w:w="0" w:type="dxa"/>
            <w:left w:w="0" w:type="dxa"/>
            <w:bottom w:w="0" w:type="dxa"/>
            <w:right w:w="0" w:type="dxa"/>
          </w:tcMar>
          <w:vAlign w:val="bottom"/>
        </w:tcPr>
        <w:p>
          <w:pPr>
            <w:rPr>
              <w:rFonts w:ascii="Arial" w:hAnsi="Arial" w:cs="Arial"/>
              <w:color w:val="000000"/>
              <w:sz w:val="10"/>
              <w:szCs w:val="10"/>
            </w:rPr>
          </w:pPr>
          <w:r>
            <w:rPr>
              <w:rFonts w:ascii="Arial" w:hAnsi="Arial" w:cs="Arial"/>
              <w:color w:val="000000"/>
              <w:sz w:val="10"/>
              <w:szCs w:val="10"/>
            </w:rPr>
            <w:fldChar w:fldCharType="begin"/>
          </w:r>
          <w:r>
            <w:rPr>
              <w:rFonts w:ascii="Arial" w:hAnsi="Arial" w:cs="Arial"/>
              <w:color w:val="000000"/>
              <w:sz w:val="10"/>
              <w:szCs w:val="10"/>
            </w:rPr>
            <w:instrText>PAGE \* ARABIC</w:instrText>
          </w:r>
          <w:r>
            <w:rPr>
              <w:rFonts w:ascii="Arial" w:hAnsi="Arial" w:cs="Arial"/>
              <w:color w:val="000000"/>
              <w:sz w:val="10"/>
              <w:szCs w:val="10"/>
            </w:rPr>
            <w:fldChar w:fldCharType="separate"/>
          </w:r>
          <w:r>
            <w:rPr>
              <w:rFonts w:ascii="Arial" w:hAnsi="Arial" w:cs="Arial"/>
              <w:color w:val="000000"/>
              <w:sz w:val="10"/>
              <w:szCs w:val="10"/>
            </w:rPr>
            <w:t>#</w:t>
          </w:r>
          <w:r>
            <w:rPr>
              <w:rFonts w:ascii="Arial" w:hAnsi="Arial" w:cs="Arial"/>
              <w:color w:val="000000"/>
              <w:sz w:val="10"/>
              <w:szCs w:val="10"/>
            </w:rPr>
            <w:fldChar w:fldCharType="end"/>
          </w:r>
        </w:p>
      </w:tc>
    </w:tr>
  </w:tbl>
  <w:p>
    <w:pPr>
      <w:rPr>
        <w:rFonts w:ascii="Arial" w:hAnsi="Arial" w:cs="Arial"/>
        <w:color w:val="000000"/>
        <w:sz w:val="2"/>
        <w:szCs w:val="2"/>
      </w:rPr>
    </w:pPr>
  </w:p>
</w:ftr>
</file>

<file path=word/header1.xml><?xml version="1.0" encoding="utf-8"?>
<w:hdr xmlns:w="http://schemas.openxmlformats.org/wordprocessingml/2006/main" xmlns:r="http://schemas.openxmlformats.org/officeDocument/2006/relationships" xmlns:wps="http://schemas.microsoft.com/office/word/2010/wordprocessingShape" xmlns:mc="http://schemas.openxmlformats.org/markup-compatibility/2006" xmlns:w10="urn:schemas-microsoft-com:office:word" xmlns:v="urn:schemas-microsoft-com:vml" xmlns:wp14="http://schemas.microsoft.com/office/word/2010/wordprocessingDrawing" xmlns:wpg="http://schemas.microsoft.com/office/word/2010/wordprocessingGroup" xmlns:wpc="http://schemas.microsoft.com/office/word/2010/wordprocessingCanvas" xmlns:w14="http://schemas.microsoft.com/office/word/2010/wordml" xmlns:w15="http://schemas.microsoft.com/office/word/2012/wordml" xmlns:cx1="http://schemas.microsoft.com/office/drawing/2015/9/8/chartex" xmlns:cx2="http://schemas.microsoft.com/office/drawing/2015/10/21/chartex" mc:Ignorable="wp14 w14 w15">
  <w:p>
    <w:pPr>
      <w:rPr>
        <w:color w:val="343434"/>
      </w:rPr>
    </w:pPr>
    <w:r>
      <w:rPr>
        <w:color w:val="343434"/>
      </w:rPr>
      <w:drawing>
        <wp:anchor xmlns:wp="http://schemas.openxmlformats.org/drawingml/2006/wordprocessingDrawing" distT="0" distB="0" distL="114300" distR="114300" simplePos="0" relativeHeight="0" behindDoc="0" locked="0" layoutInCell="0" allowOverlap="0">
          <wp:simplePos x="0" y="0"/>
          <wp:positionH relativeFrom="page">
            <wp:posOffset>5544185</wp:posOffset>
          </wp:positionH>
          <wp:positionV relativeFrom="page">
            <wp:posOffset>396240</wp:posOffset>
          </wp:positionV>
          <wp:extent cx="1368425" cy="318135"/>
          <wp:effectExtent l="0" t="0" r="0" b="0"/>
          <wp:wrapSquare wrapText="bothSides"/>
          <wp:docPr id="1"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dpi="0">
                  <a:blip xmlns:r="http://schemas.openxmlformats.org/officeDocument/2006/relationships" r:embed="Relimage13"/>
                  <a:srcRect/>
                  <a:stretch>
                    <a:fillRect/>
                  </a:stretch>
                </pic:blipFill>
                <pic:spPr>
                  <a:xfrm>
                    <a:off x="0" y="0"/>
                    <a:ext cx="1368425" cy="318135"/>
                  </a:xfrm>
                  <a:prstGeom prst="rect"/>
                </pic:spPr>
              </pic:pic>
            </a:graphicData>
          </a:graphic>
        </wp:anchor>
      </w:drawing>
    </w:r>
    <w:r>
      <w:rPr>
        <w:rFonts w:ascii="arial" w:hAnsi="arial" w:cs="arial" w:eastAsia="arial"/>
        <w:b w:val="1"/>
        <w:color w:val="343434"/>
        <w:sz w:val="24"/>
        <w:szCs w:val="24"/>
      </w:rPr>
      <w:t>Presse Information</w:t>
    </w:r>
  </w:p>
</w:hdr>
</file>

<file path=word/header2.xml><?xml version="1.0" encoding="utf-8"?>
<w:hdr xmlns:w="http://schemas.openxmlformats.org/wordprocessingml/2006/main" xmlns:r="http://schemas.openxmlformats.org/officeDocument/2006/relationships" xmlns:wps="http://schemas.microsoft.com/office/word/2010/wordprocessingShape" xmlns:mc="http://schemas.openxmlformats.org/markup-compatibility/2006" xmlns:w10="urn:schemas-microsoft-com:office:word" xmlns:v="urn:schemas-microsoft-com:vml" xmlns:wp14="http://schemas.microsoft.com/office/word/2010/wordprocessingDrawing" xmlns:wpg="http://schemas.microsoft.com/office/word/2010/wordprocessingGroup" xmlns:wpc="http://schemas.microsoft.com/office/word/2010/wordprocessingCanvas" xmlns:w14="http://schemas.microsoft.com/office/word/2010/wordml" xmlns:w15="http://schemas.microsoft.com/office/word/2012/wordml" xmlns:cx1="http://schemas.microsoft.com/office/drawing/2015/9/8/chartex" xmlns:cx2="http://schemas.microsoft.com/office/drawing/2015/10/21/chartex" mc:Ignorable="wp14 w14 w15">
  <w:p>
    <w:r>
      <w:drawing>
        <wp:anchor xmlns:wp="http://schemas.openxmlformats.org/drawingml/2006/wordprocessingDrawing" distT="0" distB="0" distL="114300" distR="114300" simplePos="0" relativeHeight="0" behindDoc="0" locked="0" layoutInCell="0" allowOverlap="0">
          <wp:simplePos x="0" y="0"/>
          <wp:positionH relativeFrom="page">
            <wp:posOffset>5723890</wp:posOffset>
          </wp:positionH>
          <wp:positionV relativeFrom="page">
            <wp:posOffset>396240</wp:posOffset>
          </wp:positionV>
          <wp:extent cx="1368425" cy="318135"/>
          <wp:effectExtent l="0" t="0" r="0" b="0"/>
          <wp:wrapSquare wrapText="bothSides"/>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dpi="0">
                  <a:blip xmlns:r="http://schemas.openxmlformats.org/officeDocument/2006/relationships" r:embed="Relimage14"/>
                  <a:srcRect/>
                  <a:stretch>
                    <a:fillRect/>
                  </a:stretch>
                </pic:blipFill>
                <pic:spPr>
                  <a:xfrm>
                    <a:off x="0" y="0"/>
                    <a:ext cx="1368425" cy="318135"/>
                  </a:xfrm>
                  <a:prstGeom prst="rect"/>
                </pic:spPr>
              </pic:pic>
            </a:graphicData>
          </a:graphic>
        </wp:anchor>
      </w:drawing>
    </w:r>
    <w:r>
      <w:rPr>
        <w:rFonts w:ascii="arial" w:hAnsi="arial" w:cs="arial" w:eastAsia="arial"/>
        <w:b w:val="1"/>
        <w:sz w:val="24"/>
        <w:szCs w:val="24"/>
      </w:rPr>
      <w:t>Presse Information</w:t>
    </w:r>
  </w:p>
</w:hdr>
</file>

<file path=word/numbering.xml><?xml version="1.0" encoding="utf-8"?>
<w:numbering xmlns:w="http://schemas.openxmlformats.org/wordprocessingml/2006/main"/>
</file>

<file path=word/settings.xml><?xml version="1.0" encoding="utf-8"?>
<w:settings xmlns:r="http://schemas.openxmlformats.org/officeDocument/2006/relationships" xmlns:w="http://schemas.openxmlformats.org/wordprocessingml/2006/main">
  <w:displayBackgroundShape w:val="0"/>
  <w:defaultTabStop w:val="720"/>
  <w:autoHyphenation w:val="0"/>
  <w:evenAndOddHeaders w:val="0"/>
  <w:characterSpacingControl w:val="compressPunctuation"/>
  <w:compat/>
  <m:mathPr xmlns:m="http://schemas.openxmlformats.org/officeDocument/2006/math">
    <m:brkBin m:val="before"/>
    <m:brkBinSub m:val="--"/>
    <m:defJc m:val="centerGroup"/>
    <m:interSp m:val="0"/>
    <m:intLim m:val="undOvr"/>
    <m:intraSp m:val="0"/>
    <m:lMargin m:val="0"/>
    <m:mathFont m:val="Cambria Math"/>
    <m:naryLim m:val="undOvr"/>
    <m:postSp m:val="0"/>
    <m:preSp m:val="0"/>
    <m:rMargin m:val="0"/>
    <m:wrapIndent m:val="0"/>
    <m:wrapRight m:val="0"/>
  </m:mathPr>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w:docDefaults>
    <w:rPrDefault>
      <w:rPr>
        <w:rFonts w:ascii="Arial" w:hAnsi="Arial" w:cs="Arial" w:eastAsiaTheme="minorEastAsia"/>
        <w:color w:val="000000"/>
        <w:sz w:val="22"/>
        <w:szCs w:val="22"/>
      </w:rPr>
    </w:rPrDefault>
    <w:pPrDefault>
      <w:pPr>
        <w:keepNext w:val="0"/>
        <w:keepLines w:val="0"/>
        <w:pageBreakBefore w:val="0"/>
        <w:widowControl w:val="1"/>
        <w:suppressLineNumbers w:val="0"/>
        <w:shd w:val="clear" w:fill="auto"/>
        <w:suppressAutoHyphens w:val="0"/>
        <w:spacing w:lineRule="auto" w:line="288" w:before="0" w:after="0" w:beforeAutospacing="0" w:afterAutospacing="0"/>
        <w:ind w:firstLine="0" w:left="0" w:right="0"/>
        <w:contextualSpacing w:val="0"/>
        <w:bidi w:val="0"/>
        <w:jc w:val="left"/>
        <w:outlineLvl w:val="9"/>
      </w:pPr>
    </w:pPrDefault>
  </w:docDefaults>
  <w:style w:type="paragraph" w:styleId="P0" w:default="1">
    <w:name w:val="Normal"/>
    <w:pPr/>
    <w:rPr/>
  </w:style>
  <w:style w:type="character" w:styleId="C0" w:default="1">
    <w:name w:val="Default Paragraph Font"/>
    <w:semiHidden/>
    <w:rPr/>
  </w:style>
  <w:style w:type="character" w:styleId="C1">
    <w:name w:val="Line Number"/>
    <w:basedOn w:val="C0"/>
    <w:semiHidden/>
    <w:rPr/>
  </w:style>
  <w:style w:type="character" w:styleId="C2">
    <w:name w:val="Hyperlink"/>
    <w:rPr>
      <w:color w:val="0000FF"/>
      <w:u w:val="single"/>
    </w:rPr>
  </w:style>
  <w:style w:type="table" w:styleId="T0" w:default="1">
    <w:name w:val="Normal Table"/>
    <w:tblPr>
      <w:tblCellMar>
        <w:top w:w="0" w:type="dxa"/>
        <w:left w:w="108" w:type="dxa"/>
        <w:bottom w:w="0" w:type="dxa"/>
        <w:right w:w="108" w:type="dxa"/>
      </w:tblCellMar>
    </w:tblPr>
    <w:trPr/>
    <w:tcPr/>
  </w:style>
  <w:style w:type="table" w:styleId="T1">
    <w:name w:val="Table Simple 1"/>
    <w:basedOn w:val="T0"/>
    <w:tblPr>
      <w:tblBorders>
        <w:top w:val="single" w:sz="4" w:space="0" w:shadow="0" w:frame="0" w:color="000000"/>
        <w:left w:val="single" w:sz="4" w:space="0" w:shadow="0" w:frame="0" w:color="000000"/>
        <w:bottom w:val="single" w:sz="4" w:space="0" w:shadow="0" w:frame="0" w:color="000000"/>
        <w:right w:val="single" w:sz="4" w:space="0" w:shadow="0" w:frame="0" w:color="000000"/>
        <w:insideH w:val="single" w:sz="4" w:space="0" w:shadow="0" w:frame="0" w:color="000000"/>
        <w:insideV w:val="single" w:sz="4" w:space="0" w:shadow="0" w:frame="0" w:color="000000"/>
      </w:tblBorders>
      <w:tblCellMar>
        <w:top w:w="0" w:type="dxa"/>
        <w:left w:w="108" w:type="dxa"/>
        <w:bottom w:w="0" w:type="dxa"/>
        <w:right w:w="108" w:type="dxa"/>
      </w:tblCellMar>
    </w:tblPr>
    <w:trPr/>
    <w:tcPr/>
  </w:style>
</w:styles>
</file>

<file path=word/_rels/document.xml.rels>&#65279;<?xml version="1.0" encoding="utf-8"?><Relationships xmlns="http://schemas.openxmlformats.org/package/2006/relationships"><Relationship Id="Relimage1" Type="http://schemas.openxmlformats.org/officeDocument/2006/relationships/image" Target="/media/image1.jpg" /><Relationship Id="Relimage2" Type="http://schemas.openxmlformats.org/officeDocument/2006/relationships/image" Target="/media/image2.jpg" /><Relationship Id="Relimage3" Type="http://schemas.openxmlformats.org/officeDocument/2006/relationships/image" Target="/media/image3.jpg" /><Relationship Id="Relimage4" Type="http://schemas.openxmlformats.org/officeDocument/2006/relationships/image" Target="/media/image4.jpg" /><Relationship Id="Relimage5" Type="http://schemas.openxmlformats.org/officeDocument/2006/relationships/image" Target="/media/image5.jpg" /><Relationship Id="Relimage6" Type="http://schemas.openxmlformats.org/officeDocument/2006/relationships/image" Target="/media/image6.jpg" /><Relationship Id="Relimage7" Type="http://schemas.openxmlformats.org/officeDocument/2006/relationships/image" Target="/media/image7.jpg" /><Relationship Id="Relimage8" Type="http://schemas.openxmlformats.org/officeDocument/2006/relationships/image" Target="/media/image8.jpg" /><Relationship Id="Relimage9" Type="http://schemas.openxmlformats.org/officeDocument/2006/relationships/image" Target="/media/image9.jpg" /><Relationship Id="Relimage10" Type="http://schemas.openxmlformats.org/officeDocument/2006/relationships/image" Target="/media/image10.jpg" /><Relationship Id="Relimage11" Type="http://schemas.openxmlformats.org/officeDocument/2006/relationships/image" Target="/media/image11.jpg" /><Relationship Id="Relimage12" Type="http://schemas.openxmlformats.org/officeDocument/2006/relationships/image" Target="/media/image12.jpg" /><Relationship Id="R2" Type="http://schemas.openxmlformats.org/officeDocument/2006/relationships/hyperlink" Target="https://pressrelease.bering-kopal.de/de/pressrelease/toto-europe_the-tokyo-toilet-1a63b331-8a95-46a0-9fc3-abe19ced7974" TargetMode="External" /><Relationship Id="R3" Type="http://schemas.openxmlformats.org/officeDocument/2006/relationships/hyperlink" Target="https://pressrelease.bering-kopal.de/de/pressrelease/toto-europe_the-tokyo-toilet-project-update-2021-6cd9e6b6-635f-47e7-a1a8-38cfc58638d8" TargetMode="External" /><Relationship Id="R4" Type="http://schemas.openxmlformats.org/officeDocument/2006/relationships/hyperlink" Target="https://pressrelease.bering-kopal.de/de/pressrelease/toto-europe_the-tokyo-toilet-project-fertiggestellt" TargetMode="External" /><Relationship Id="R5" Type="http://schemas.openxmlformats.org/officeDocument/2006/relationships/hyperlink" Target="https://pressrelease.bering-kopal.de/de/pressrelease/toto-europe_toto-ist-bronzesponsor-der-expo-2025" TargetMode="External" /><Relationship Id="R6" Type="http://schemas.openxmlformats.org/officeDocument/2006/relationships/hyperlink" Target="https://eu.toto.com/de" TargetMode="External" /><Relationship Id="R7" Type="http://schemas.openxmlformats.org/officeDocument/2006/relationships/hyperlink" Target="https://www.there100.org/" TargetMode="External" /><Relationship Id="R8" Type="http://schemas.openxmlformats.org/officeDocument/2006/relationships/hyperlink" Target="https://sciencebasedtargets.org/" TargetMode="External" /><Relationship Id="RelHdr1" Type="http://schemas.openxmlformats.org/officeDocument/2006/relationships/header" Target="header1.xml" /><Relationship Id="RelHdr2" Type="http://schemas.openxmlformats.org/officeDocument/2006/relationships/header" Target="header2.xml" /><Relationship Id="RelFtr1" Type="http://schemas.openxmlformats.org/officeDocument/2006/relationships/footer" Target="footer1.xml" /><Relationship Id="RelFtr2" Type="http://schemas.openxmlformats.org/officeDocument/2006/relationships/footer" Target="footer2.xml" /><Relationship Id="RelStyle1" Type="http://schemas.openxmlformats.org/officeDocument/2006/relationships/styles" Target="styles.xml" /><Relationship Id="RelNum1" Type="http://schemas.openxmlformats.org/officeDocument/2006/relationships/numbering" Target="numbering.xml" /><Relationship Id="RelSettings1" Type="http://schemas.openxmlformats.org/officeDocument/2006/relationships/settings" Target="settings.xml" /><Relationship Id="RelTheme1" Type="http://schemas.openxmlformats.org/officeDocument/2006/relationships/theme" Target="theme/theme1.xml" /></Relationships>
</file>

<file path=word/_rels/footer1.xml.rels>&#65279;<?xml version="1.0" encoding="utf-8"?><Relationships xmlns="http://schemas.openxmlformats.org/package/2006/relationships" />
</file>

<file path=word/_rels/footer2.xml.rels>&#65279;<?xml version="1.0" encoding="utf-8"?><Relationships xmlns="http://schemas.openxmlformats.org/package/2006/relationships" />
</file>

<file path=word/_rels/header1.xml.rels>&#65279;<?xml version="1.0" encoding="utf-8"?><Relationships xmlns="http://schemas.openxmlformats.org/package/2006/relationships"><Relationship Id="Relimage13" Type="http://schemas.openxmlformats.org/officeDocument/2006/relationships/image" Target="/media/image13.jpg" /></Relationships>
</file>

<file path=word/_rels/header2.xml.rels>&#65279;<?xml version="1.0" encoding="utf-8"?><Relationships xmlns="http://schemas.openxmlformats.org/package/2006/relationships"><Relationship Id="Relimage14" Type="http://schemas.openxmlformats.org/officeDocument/2006/relationships/image" Target="/media/image14.jp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tileRect/>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tileRect/>
        </a:gradFill>
      </a:fillStyleLst>
      <a:lnStyleLst>
        <a:ln w="9525" cmpd="sng" algn="ctr">
          <a:solidFill>
            <a:schemeClr val="phClr">
              <a:shade val="95000"/>
              <a:satMod val="105000"/>
            </a:schemeClr>
          </a:solidFill>
          <a:prstDash val="solid"/>
        </a:ln>
        <a:ln w="25400" cmpd="sng" algn="ctr">
          <a:solidFill>
            <a:schemeClr val="phClr"/>
          </a:solidFill>
          <a:prstDash val="solid"/>
        </a:ln>
        <a:ln w="38100"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tileRect/>
        </a:gradFill>
        <a:gradFill rotWithShape="1">
          <a:gsLst>
            <a:gs pos="0">
              <a:schemeClr val="phClr">
                <a:tint val="80000"/>
                <a:satMod val="300000"/>
              </a:schemeClr>
            </a:gs>
            <a:gs pos="100000">
              <a:schemeClr val="phClr">
                <a:shade val="30000"/>
                <a:satMod val="200000"/>
              </a:schemeClr>
            </a:gs>
          </a:gsLst>
          <a:path path="circle">
            <a:fillToRect l="50000" t="50000" r="50000" b="50000"/>
          </a:path>
          <a:tileRect/>
        </a:gradFill>
      </a:bgFillStyleLst>
    </a:fmtScheme>
  </a:themeElements>
</a:theme>
</file>

<file path=docProps/app.xml><?xml version="1.0" encoding="utf-8"?>
<Properties xmlns="http://schemas.openxmlformats.org/officeDocument/2006/extended-properties">
  <Application>DevExpress Office File API/24.2.9.0</Application>
  <AppVersion>24.2</AppVersion>
</Properties>
</file>

<file path=docProps/core.xml><?xml version="1.0" encoding="utf-8"?>
<cp:coreProperties xmlns:dc="http://purl.org/dc/elements/1.1/" xmlns:dcterms="http://purl.org/dc/terms/" xmlns:dcmitype="http://purl.org/dc/dcmitype/" xmlns:xsi="http://www.w3.org/2001/XMLSchema-instance" xmlns:cp="http://schemas.openxmlformats.org/package/2006/metadata/core-properties">
  <dcterms:created xsi:type="dcterms:W3CDTF">2026-03-02T12:59:09Z</dcterms:created>
  <dcterms:modified xsi:type="dcterms:W3CDTF">2026-03-02T12:59:10Z</dcterms:modified>
  <cp:revision>1</cp:revision>
</cp:coreProperties>
</file>