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3B76CC" w:rsidRDefault="00000000">
      <w:pPr>
        <w:rPr>
          <w:rFonts w:eastAsia="Arial"/>
          <w:sz w:val="8"/>
          <w:szCs w:val="8"/>
        </w:rPr>
      </w:pPr>
      <w:r>
        <w:rPr>
          <w:b/>
          <w:bCs/>
          <w:sz w:val="32"/>
          <w:szCs w:val="32"/>
        </w:rPr>
        <w:t>Auf gute Nachbarschaft</w:t>
      </w:r>
      <w:r>
        <w:rPr>
          <w:b/>
          <w:bCs/>
          <w:sz w:val="32"/>
          <w:szCs w:val="32"/>
        </w:rPr>
        <w:br/>
      </w:r>
      <w:r>
        <w:rPr>
          <w:rFonts w:eastAsia="Arial"/>
        </w:rPr>
        <w:t xml:space="preserve">Neue Wohnbebauung in Holzbauweise von </w:t>
      </w:r>
      <w:proofErr w:type="spellStart"/>
      <w:r>
        <w:rPr>
          <w:rFonts w:eastAsia="Arial"/>
        </w:rPr>
        <w:t>a+r</w:t>
      </w:r>
      <w:proofErr w:type="spellEnd"/>
      <w:r>
        <w:rPr>
          <w:rFonts w:eastAsia="Arial"/>
        </w:rPr>
        <w:t xml:space="preserve"> Architekten als Teil der Landesgartenschau in Wangen im Allgäu.</w:t>
      </w:r>
      <w:r>
        <w:rPr>
          <w:rFonts w:eastAsia="Arial"/>
        </w:rPr>
        <w:br/>
      </w:r>
      <w:r>
        <w:rPr>
          <w:rFonts w:eastAsia="Arial"/>
          <w:sz w:val="8"/>
          <w:szCs w:val="8"/>
        </w:rPr>
        <w:br/>
      </w:r>
    </w:p>
    <w:tbl>
      <w:tblPr>
        <w:tblStyle w:val="TabelleEinfach1"/>
        <w:tblW w:w="5000" w:type="pct"/>
        <w:jc w:val="center"/>
        <w:tblLayout w:type="fixed"/>
        <w:tblCellMar>
          <w:left w:w="0" w:type="dxa"/>
          <w:right w:w="227" w:type="dxa"/>
        </w:tblCellMar>
        <w:tblLook w:val="04A0" w:firstRow="1" w:lastRow="0" w:firstColumn="1" w:lastColumn="0" w:noHBand="0" w:noVBand="1"/>
      </w:tblPr>
      <w:tblGrid>
        <w:gridCol w:w="9979"/>
      </w:tblGrid>
      <w:tr w:rsidR="003B76CC">
        <w:trPr>
          <w:jc w:val="center"/>
        </w:trPr>
        <w:tc>
          <w:tcPr>
            <w:tcW w:w="5000" w:type="pct"/>
            <w:tcBorders>
              <w:top w:val="nil"/>
              <w:left w:val="nil"/>
              <w:bottom w:val="nil"/>
              <w:right w:val="nil"/>
            </w:tcBorders>
            <w:shd w:val="clear" w:color="auto" w:fill="auto"/>
            <w:tcMar>
              <w:top w:w="0" w:type="dxa"/>
              <w:left w:w="0" w:type="dxa"/>
              <w:bottom w:w="0" w:type="dxa"/>
              <w:right w:w="227" w:type="dxa"/>
            </w:tcMar>
          </w:tcPr>
          <w:p w:rsidR="003B76CC" w:rsidRDefault="00000000">
            <w:pPr>
              <w:rPr>
                <w:sz w:val="18"/>
                <w:szCs w:val="18"/>
              </w:rPr>
            </w:pPr>
            <w:r>
              <w:rPr>
                <w:noProof/>
                <w:sz w:val="18"/>
                <w:szCs w:val="18"/>
              </w:rPr>
              <w:drawing>
                <wp:inline distT="0" distB="0" distL="0" distR="0">
                  <wp:extent cx="3995420" cy="2663825"/>
                  <wp:effectExtent l="0" t="0" r="0" b="0"/>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dpi="0">
                          <a:blip r:embed="rId6"/>
                          <a:srcRect/>
                          <a:stretch>
                            <a:fillRect/>
                          </a:stretch>
                        </pic:blipFill>
                        <pic:spPr>
                          <a:xfrm>
                            <a:off x="0" y="0"/>
                            <a:ext cx="3995420" cy="2663825"/>
                          </a:xfrm>
                          <a:prstGeom prst="rect">
                            <a:avLst/>
                          </a:prstGeom>
                        </pic:spPr>
                      </pic:pic>
                    </a:graphicData>
                  </a:graphic>
                </wp:inline>
              </w:drawing>
            </w:r>
          </w:p>
        </w:tc>
      </w:tr>
    </w:tbl>
    <w:p w:rsidR="003B76CC" w:rsidRDefault="00000000">
      <w:pPr>
        <w:rPr>
          <w:sz w:val="8"/>
          <w:szCs w:val="8"/>
        </w:rPr>
      </w:pPr>
      <w:r>
        <w:rPr>
          <w:sz w:val="8"/>
          <w:szCs w:val="8"/>
        </w:rPr>
        <w:br/>
      </w:r>
    </w:p>
    <w:tbl>
      <w:tblPr>
        <w:tblStyle w:val="TabelleEinfach1"/>
        <w:tblW w:w="5000" w:type="pct"/>
        <w:tblLayout w:type="fixed"/>
        <w:tblCellMar>
          <w:left w:w="0" w:type="dxa"/>
          <w:right w:w="227" w:type="dxa"/>
        </w:tblCellMar>
        <w:tblLook w:val="04A0" w:firstRow="1" w:lastRow="0" w:firstColumn="1" w:lastColumn="0" w:noHBand="0" w:noVBand="1"/>
      </w:tblPr>
      <w:tblGrid>
        <w:gridCol w:w="7584"/>
        <w:gridCol w:w="2395"/>
      </w:tblGrid>
      <w:tr w:rsidR="003B76CC">
        <w:tc>
          <w:tcPr>
            <w:tcW w:w="3800" w:type="pct"/>
            <w:tcBorders>
              <w:top w:val="nil"/>
              <w:left w:val="nil"/>
              <w:bottom w:val="nil"/>
              <w:right w:val="nil"/>
            </w:tcBorders>
            <w:shd w:val="clear" w:color="auto" w:fill="auto"/>
            <w:tcMar>
              <w:top w:w="0" w:type="dxa"/>
              <w:left w:w="0" w:type="dxa"/>
              <w:bottom w:w="0" w:type="dxa"/>
              <w:right w:w="227" w:type="dxa"/>
            </w:tcMar>
          </w:tcPr>
          <w:p w:rsidR="003B76CC" w:rsidRDefault="00000000">
            <w:pPr>
              <w:spacing w:after="240"/>
              <w:rPr>
                <w:sz w:val="20"/>
                <w:szCs w:val="20"/>
              </w:rPr>
            </w:pPr>
            <w:r>
              <w:rPr>
                <w:i/>
                <w:sz w:val="20"/>
                <w:szCs w:val="20"/>
              </w:rPr>
              <w:t xml:space="preserve">Davon träumen wir alle: in guter Gemeinschaft miteinander zu leben. Es ist nicht der alleinige Schlüssel zum (Wohn-)Glück, aber ein gutes nachbarschaftliches Umfeld trägt wesentlich zu einem entspannteren und entschleunigten Alltag bei. Wie und wo wir uns begegnen, wird maßgeblich durch die Architektur und den städtebaulichen Entwurf eines Quartiers beeinflusst. Eine gelungene Quartiersbebauung, die das gute Miteinander in den Mittelpunkt stellt, haben </w:t>
            </w:r>
            <w:proofErr w:type="spellStart"/>
            <w:r>
              <w:rPr>
                <w:i/>
                <w:sz w:val="20"/>
                <w:szCs w:val="20"/>
              </w:rPr>
              <w:t>a+r</w:t>
            </w:r>
            <w:proofErr w:type="spellEnd"/>
            <w:r>
              <w:rPr>
                <w:i/>
                <w:sz w:val="20"/>
                <w:szCs w:val="20"/>
              </w:rPr>
              <w:t xml:space="preserve"> Architekten im Rahmen der Landesgartenschau 2024 in Wangen im Allgäu umgesetzt.</w:t>
            </w:r>
          </w:p>
          <w:p w:rsidR="003B76CC" w:rsidRDefault="00000000">
            <w:pPr>
              <w:spacing w:after="240"/>
              <w:rPr>
                <w:sz w:val="20"/>
                <w:szCs w:val="20"/>
              </w:rPr>
            </w:pPr>
            <w:r>
              <w:rPr>
                <w:sz w:val="20"/>
                <w:szCs w:val="20"/>
              </w:rPr>
              <w:t xml:space="preserve">Gemeinsam mit der Bauherrin, der Siedlungswerk GmbH, haben die Architektinnen und Architekten des in Stuttgart und Tübingen ansässigen Büros </w:t>
            </w:r>
            <w:proofErr w:type="spellStart"/>
            <w:r>
              <w:rPr>
                <w:sz w:val="20"/>
                <w:szCs w:val="20"/>
              </w:rPr>
              <w:t>a+r</w:t>
            </w:r>
            <w:proofErr w:type="spellEnd"/>
            <w:r>
              <w:rPr>
                <w:sz w:val="20"/>
                <w:szCs w:val="20"/>
              </w:rPr>
              <w:t xml:space="preserve"> eine lebendige, funktionierende Mischung unterschiedlichster Wohnungsgrößen und -formen in Holzbauweise geschaffen.</w:t>
            </w:r>
          </w:p>
          <w:p w:rsidR="003B76CC" w:rsidRDefault="00000000">
            <w:pPr>
              <w:spacing w:after="240"/>
              <w:rPr>
                <w:sz w:val="20"/>
                <w:szCs w:val="20"/>
              </w:rPr>
            </w:pPr>
            <w:r>
              <w:rPr>
                <w:b/>
                <w:sz w:val="20"/>
                <w:szCs w:val="20"/>
              </w:rPr>
              <w:t>Lebendige Gemeinschaft</w:t>
            </w:r>
          </w:p>
          <w:p w:rsidR="003B76CC" w:rsidRDefault="00000000">
            <w:pPr>
              <w:spacing w:after="240"/>
              <w:rPr>
                <w:sz w:val="20"/>
                <w:szCs w:val="20"/>
              </w:rPr>
            </w:pPr>
            <w:r>
              <w:rPr>
                <w:sz w:val="20"/>
                <w:szCs w:val="20"/>
              </w:rPr>
              <w:t xml:space="preserve">Angrenzend an den </w:t>
            </w:r>
            <w:proofErr w:type="spellStart"/>
            <w:r>
              <w:rPr>
                <w:sz w:val="20"/>
                <w:szCs w:val="20"/>
              </w:rPr>
              <w:t>Auwiesenpark</w:t>
            </w:r>
            <w:proofErr w:type="spellEnd"/>
            <w:r>
              <w:rPr>
                <w:sz w:val="20"/>
                <w:szCs w:val="20"/>
              </w:rPr>
              <w:t>, der als Teil der Landesgartenschau neugestaltet wurde, befindet sich direkt an dem Flüsschen Obere Argen gelegen, das neue Quartier Auwiesen. Teil der Quartiersbebauung sind 22 Hofhäuser inkl. 4 Miet</w:t>
            </w:r>
            <w:r w:rsidR="00963AF6">
              <w:rPr>
                <w:sz w:val="20"/>
                <w:szCs w:val="20"/>
              </w:rPr>
              <w:t>-</w:t>
            </w:r>
            <w:r w:rsidR="00963AF6">
              <w:rPr>
                <w:sz w:val="20"/>
                <w:szCs w:val="20"/>
              </w:rPr>
              <w:br/>
            </w:r>
            <w:proofErr w:type="spellStart"/>
            <w:r>
              <w:rPr>
                <w:sz w:val="20"/>
                <w:szCs w:val="20"/>
              </w:rPr>
              <w:t>wohnungen</w:t>
            </w:r>
            <w:proofErr w:type="spellEnd"/>
            <w:r>
              <w:rPr>
                <w:sz w:val="20"/>
                <w:szCs w:val="20"/>
              </w:rPr>
              <w:t xml:space="preserve"> und drei Mehrfamilienhäuser mit 33 Wohnungen von </w:t>
            </w:r>
            <w:proofErr w:type="spellStart"/>
            <w:r>
              <w:rPr>
                <w:sz w:val="20"/>
                <w:szCs w:val="20"/>
              </w:rPr>
              <w:t>a+r</w:t>
            </w:r>
            <w:proofErr w:type="spellEnd"/>
            <w:r>
              <w:rPr>
                <w:sz w:val="20"/>
                <w:szCs w:val="20"/>
              </w:rPr>
              <w:t xml:space="preserve"> Architekten. Die Vielfalt der Wohnformen, von Einfamilienhäusern bis zu Geschosswohnungen, als Eigentum oder zur Miete, trägt zu einer lebendigen und sozial vielfältigen Gemeinschaft bei. Interne Fußwege verbinden die unterschiedlichen Bereiche und die drei Plätze des neuen Wohngebietes und schaffen Orte der Begegnung. Der Vereinsplatz, der Quartiersplatz und der Nachbarschaftshof bieten Raum für Austausch, Begegnungen und gemeinschaftliche Aktivitäten. Dort angesiedelte Car- und E-</w:t>
            </w:r>
            <w:proofErr w:type="spellStart"/>
            <w:r>
              <w:rPr>
                <w:sz w:val="20"/>
                <w:szCs w:val="20"/>
              </w:rPr>
              <w:t>Bikesharing</w:t>
            </w:r>
            <w:proofErr w:type="spellEnd"/>
            <w:r>
              <w:rPr>
                <w:sz w:val="20"/>
                <w:szCs w:val="20"/>
              </w:rPr>
              <w:t xml:space="preserve">-Angebote sowie eine E-Bike-Ladestation unterstützen eine nachhaltige Mobilität und unterstreichen den zukunftsorientierten Ansatz, den sich die Siedlungswerk GmbH als Bauherrin, Vermieterin und Miteigentümerin für das neue Quartier gewünscht hat. Die Architektur der Gebäude sowie die städtebauliche Struktur fördern ein gemeinschaftliches Miteinander, ohne dabei die Privatsphäre </w:t>
            </w:r>
            <w:r>
              <w:rPr>
                <w:sz w:val="20"/>
                <w:szCs w:val="20"/>
              </w:rPr>
              <w:lastRenderedPageBreak/>
              <w:t>der Bewohnerinnen und Bewohner außer Acht zu lassen. Die direkte Einbindung in das Gelände der Landesgartenschau stärkt die Verbindung zwischen Natur und Wohnraum.</w:t>
            </w:r>
          </w:p>
          <w:p w:rsidR="003B76CC" w:rsidRDefault="00000000">
            <w:pPr>
              <w:spacing w:after="240"/>
              <w:rPr>
                <w:sz w:val="20"/>
                <w:szCs w:val="20"/>
              </w:rPr>
            </w:pPr>
            <w:r>
              <w:rPr>
                <w:b/>
                <w:sz w:val="20"/>
                <w:szCs w:val="20"/>
              </w:rPr>
              <w:t>Wohnqualität und Flächeneffizienz – das Hofhaus</w:t>
            </w:r>
          </w:p>
          <w:p w:rsidR="003B76CC" w:rsidRDefault="00000000">
            <w:pPr>
              <w:spacing w:after="240"/>
              <w:rPr>
                <w:sz w:val="20"/>
                <w:szCs w:val="20"/>
              </w:rPr>
            </w:pPr>
            <w:r>
              <w:rPr>
                <w:sz w:val="20"/>
                <w:szCs w:val="20"/>
              </w:rPr>
              <w:t>Die 22 Hofhäuser in den Auwiesen bieten nicht nur eine hohe Wohnqualität, sondern sind auch ein Paradebeispiel für Flächeneffizienz. Auf immer kleiner werdenden Grundstücken erweist sich das in den vergangenen Jahren etwas in Vergessenheit geratene Hofhaus als eine besonders raumsparende Bauweise. Im Vergleich zu herkömmlichen Einfamilienhausgebieten benötigen solche Wohnanlagen nur etwa ein Viertel der Fläche, was sie in urbanen Gebieten unschlagbar effizient macht. Die geschlossene Bauweise um einen privaten Innenhof schafft einen ruhigen Rück</w:t>
            </w:r>
            <w:r w:rsidR="00963AF6">
              <w:rPr>
                <w:sz w:val="20"/>
                <w:szCs w:val="20"/>
              </w:rPr>
              <w:t>-</w:t>
            </w:r>
            <w:r w:rsidR="00963AF6">
              <w:rPr>
                <w:sz w:val="20"/>
                <w:szCs w:val="20"/>
              </w:rPr>
              <w:br/>
            </w:r>
            <w:proofErr w:type="spellStart"/>
            <w:r>
              <w:rPr>
                <w:sz w:val="20"/>
                <w:szCs w:val="20"/>
              </w:rPr>
              <w:t>zugsort</w:t>
            </w:r>
            <w:proofErr w:type="spellEnd"/>
            <w:r>
              <w:rPr>
                <w:sz w:val="20"/>
                <w:szCs w:val="20"/>
              </w:rPr>
              <w:t xml:space="preserve"> und bietet gleichzeitig zahlreiche Nutzungsmöglichkeiten zur Erholung oder temporären Wohnraumerweiterung – ideal für Familien und Stadtbewohnerinnen und -bewohner, die nicht auf Freiflächen verzichten möchten. Auch hinsichtlich der Energieeffizienz bringt die altbekannte, kompakte Hofhaus-Bauweise Vorteile. Die natürliche Belüftung und Belichtung des Innenhofs verbessern zudem das Wohnklima, während die geschlossene Struktur für erhöhten Lärmschutz sorgt. Studien wie jene zur Gartenstadt Puchenau bei Linz in Oberösterreich zeigen, dass Bewohnerinnen und Bewohner von Hofhäusern eine hohe Wohnzufriedenheit erleben, die sogar zu einem reduzierten Mobilitätsverhalten führt. Viele verbringen ihre Freizeit lieber zu Hause und fahren übers Wochenende nicht ins Grüne, was zur Einsparung von Energie und Ressourcen beiträgt.</w:t>
            </w:r>
          </w:p>
          <w:p w:rsidR="003B76CC" w:rsidRDefault="00000000">
            <w:pPr>
              <w:spacing w:after="240"/>
              <w:rPr>
                <w:sz w:val="20"/>
                <w:szCs w:val="20"/>
              </w:rPr>
            </w:pPr>
            <w:r>
              <w:rPr>
                <w:b/>
                <w:sz w:val="20"/>
                <w:szCs w:val="20"/>
              </w:rPr>
              <w:t>Wohnen im begrünten Regal – die Geschosswohnungsbauten</w:t>
            </w:r>
          </w:p>
          <w:p w:rsidR="003B76CC" w:rsidRDefault="00000000">
            <w:pPr>
              <w:spacing w:after="240"/>
              <w:rPr>
                <w:sz w:val="20"/>
                <w:szCs w:val="20"/>
              </w:rPr>
            </w:pPr>
            <w:r>
              <w:rPr>
                <w:sz w:val="20"/>
                <w:szCs w:val="20"/>
              </w:rPr>
              <w:t>Eine klare Raumkante zur Landesgartenschau hin bilden die drei Mehrfamilienhäuser mit ihren insgesamt 33 Wohnungen auf drei Stockwerken plus Dachgeschoss. Durch die vorgelagerte freistehende Aluminiumkonstruktion für Kletterpflanzen wird das horizontale Grün des Auswiesenparks in die Vertikale weitergeführt. So entsteht eine natürliche Verbindung zwischen den Gebäuden und der umgebenden Landschaft, die gleichzeitig das Mikroklima verbessert und die Wohnqualität steigert. In die Regalstruktur sind zudem die Balkone bzw. die Terrassen integriert, die jeder Wohnung zugeordnet sind. Als zusätzliche Freiflächen und um die hausinterne Gemeinschaft zu stärken, stehen den Bewohnerinnen und Bewohnern zudem die gemeinschaftlich nutzbaren Dachterrassen zur Verfügung. Von den 2-, 3- und 4-Zimmer-Wohnungen wurden 16 als geförderter Wohnraum umgesetzt, 13 Wohnungen sind barrierefrei. Dies fördert eine soziale und altersmäßige Durchmischung im Quartier.</w:t>
            </w:r>
          </w:p>
          <w:p w:rsidR="003B76CC" w:rsidRDefault="00000000">
            <w:pPr>
              <w:spacing w:after="240"/>
              <w:rPr>
                <w:sz w:val="20"/>
                <w:szCs w:val="20"/>
              </w:rPr>
            </w:pPr>
            <w:r>
              <w:rPr>
                <w:b/>
                <w:sz w:val="20"/>
                <w:szCs w:val="20"/>
              </w:rPr>
              <w:t>Vorgefertigter Holzbau mit hoher Energieeffizienz</w:t>
            </w:r>
          </w:p>
          <w:p w:rsidR="003B76CC" w:rsidRDefault="00000000">
            <w:pPr>
              <w:spacing w:after="240"/>
              <w:rPr>
                <w:sz w:val="20"/>
                <w:szCs w:val="20"/>
              </w:rPr>
            </w:pPr>
            <w:r>
              <w:rPr>
                <w:sz w:val="20"/>
                <w:szCs w:val="20"/>
              </w:rPr>
              <w:t xml:space="preserve">Als Holzbauten haben sowohl die Hofhäuser als auch die Geschossbauten einen hohen Vorfertigungsgrad. Die Außenwände wurden werksseitig mit der hinterlüfteten Holzfassade versehen und wo möglich wurden im Werk auch bereits die Fenster montiert. Lediglich das Untergeschoss und der kompakte Treppenhauskern der Mehrfamilienhäuser bestehen aus Stahlbeton. Das Tragwerk der beiden Gebäude basiert auf Holztafelwänden, Holzunterzügen und 20 cm starken Brettsperrholzelementen als Decken. Für einen optimalen Schallschutz, kamen gebundene </w:t>
            </w:r>
            <w:proofErr w:type="spellStart"/>
            <w:r>
              <w:rPr>
                <w:sz w:val="20"/>
                <w:szCs w:val="20"/>
              </w:rPr>
              <w:t>Splittschüttungen</w:t>
            </w:r>
            <w:proofErr w:type="spellEnd"/>
            <w:r>
              <w:rPr>
                <w:sz w:val="20"/>
                <w:szCs w:val="20"/>
              </w:rPr>
              <w:t xml:space="preserve"> und schwimmender Estrich zum Einsatz. Die </w:t>
            </w:r>
            <w:r>
              <w:rPr>
                <w:sz w:val="20"/>
                <w:szCs w:val="20"/>
              </w:rPr>
              <w:lastRenderedPageBreak/>
              <w:t>Erfüllung der brandschutztechnischen Anforderungen konnte vielfach durch den Nachweis des Abbrandes der Holzbauteile erbracht werden, sodass besonders Holzdecken und Unterzüge in Sichtholz ausgeführt werden konnten, was den Innenräumen eine natürliche und angenehme Atmosphäre verleiht.</w:t>
            </w:r>
          </w:p>
          <w:p w:rsidR="003B76CC" w:rsidRDefault="00000000">
            <w:pPr>
              <w:spacing w:after="240"/>
              <w:rPr>
                <w:sz w:val="20"/>
                <w:szCs w:val="20"/>
              </w:rPr>
            </w:pPr>
            <w:r>
              <w:rPr>
                <w:sz w:val="20"/>
                <w:szCs w:val="20"/>
              </w:rPr>
              <w:t>Die Wohnbebauung Auwiesen erfüllt den energetischen Standard eines Effizienz</w:t>
            </w:r>
            <w:r>
              <w:rPr>
                <w:sz w:val="20"/>
                <w:szCs w:val="20"/>
              </w:rPr>
              <w:softHyphen/>
              <w:t>hauses 55 und ist an das bestehende lokale Wärmenetz angeschlossen, das von den Stadtwerken Wangen im Allgäu betrieben wird.</w:t>
            </w:r>
          </w:p>
          <w:p w:rsidR="003B76CC" w:rsidRDefault="00000000">
            <w:pPr>
              <w:spacing w:after="240"/>
              <w:rPr>
                <w:sz w:val="20"/>
                <w:szCs w:val="20"/>
              </w:rPr>
            </w:pPr>
            <w:r>
              <w:rPr>
                <w:sz w:val="20"/>
                <w:szCs w:val="20"/>
              </w:rPr>
              <w:t xml:space="preserve">„Unser Ziel war es, ein Quartier zu schaffen, das nicht nur ökologisch und energieeffizient ist, sondern auch ein lebendiges und funktionierendes nachbarschaftliches Miteinander fördert. Der Nachbarschaftshof als gemeinschaftlicher Mittelpunkt und die durchgehende Holzbauweise sind dabei wesentliche Elemente unseres Konzeptes,“ erläutert Klaus Weinmann, Architekt und Projektleiter bei </w:t>
            </w:r>
            <w:proofErr w:type="spellStart"/>
            <w:r>
              <w:rPr>
                <w:sz w:val="20"/>
                <w:szCs w:val="20"/>
              </w:rPr>
              <w:t>a+r</w:t>
            </w:r>
            <w:proofErr w:type="spellEnd"/>
            <w:r>
              <w:rPr>
                <w:sz w:val="20"/>
                <w:szCs w:val="20"/>
              </w:rPr>
              <w:t xml:space="preserve"> Architekten. </w:t>
            </w:r>
          </w:p>
          <w:p w:rsidR="003B76CC" w:rsidRDefault="00000000">
            <w:pPr>
              <w:spacing w:after="240"/>
              <w:rPr>
                <w:sz w:val="20"/>
                <w:szCs w:val="20"/>
              </w:rPr>
            </w:pPr>
            <w:r>
              <w:rPr>
                <w:b/>
                <w:sz w:val="20"/>
                <w:szCs w:val="20"/>
              </w:rPr>
              <w:t>Daten und Fakten</w:t>
            </w:r>
          </w:p>
          <w:p w:rsidR="003B76CC" w:rsidRDefault="00000000">
            <w:pPr>
              <w:spacing w:after="240"/>
              <w:rPr>
                <w:sz w:val="20"/>
                <w:szCs w:val="20"/>
              </w:rPr>
            </w:pPr>
            <w:r w:rsidRPr="00963AF6">
              <w:rPr>
                <w:b/>
                <w:bCs/>
                <w:sz w:val="20"/>
                <w:szCs w:val="20"/>
              </w:rPr>
              <w:t>Projekt</w:t>
            </w:r>
            <w:r>
              <w:rPr>
                <w:sz w:val="20"/>
                <w:szCs w:val="20"/>
              </w:rPr>
              <w:t>: Wohnbebauung Auwiesen</w:t>
            </w:r>
            <w:r>
              <w:rPr>
                <w:sz w:val="20"/>
                <w:szCs w:val="20"/>
              </w:rPr>
              <w:br/>
            </w:r>
            <w:r w:rsidRPr="00963AF6">
              <w:rPr>
                <w:b/>
                <w:bCs/>
                <w:sz w:val="20"/>
                <w:szCs w:val="20"/>
              </w:rPr>
              <w:t>Bauherr</w:t>
            </w:r>
            <w:r>
              <w:rPr>
                <w:sz w:val="20"/>
                <w:szCs w:val="20"/>
              </w:rPr>
              <w:t>: Siedlungswerk GmbH Wohnungs- und Städtebau, Stuttgart, www.siedlungswerk.de</w:t>
            </w:r>
            <w:r>
              <w:rPr>
                <w:sz w:val="20"/>
                <w:szCs w:val="20"/>
              </w:rPr>
              <w:br/>
            </w:r>
            <w:r w:rsidRPr="00963AF6">
              <w:rPr>
                <w:b/>
                <w:bCs/>
                <w:sz w:val="20"/>
                <w:szCs w:val="20"/>
              </w:rPr>
              <w:t>Architektur</w:t>
            </w:r>
            <w:r>
              <w:rPr>
                <w:sz w:val="20"/>
                <w:szCs w:val="20"/>
              </w:rPr>
              <w:t xml:space="preserve">: </w:t>
            </w:r>
            <w:proofErr w:type="spellStart"/>
            <w:r>
              <w:rPr>
                <w:sz w:val="20"/>
                <w:szCs w:val="20"/>
              </w:rPr>
              <w:t>a+r</w:t>
            </w:r>
            <w:proofErr w:type="spellEnd"/>
            <w:r>
              <w:rPr>
                <w:sz w:val="20"/>
                <w:szCs w:val="20"/>
              </w:rPr>
              <w:t xml:space="preserve"> Architekten, Stuttgart/Tübingen, www.aplusr.de</w:t>
            </w:r>
            <w:r>
              <w:rPr>
                <w:sz w:val="20"/>
                <w:szCs w:val="20"/>
              </w:rPr>
              <w:br/>
            </w:r>
            <w:r w:rsidRPr="00963AF6">
              <w:rPr>
                <w:b/>
                <w:bCs/>
                <w:sz w:val="20"/>
                <w:szCs w:val="20"/>
              </w:rPr>
              <w:t>Bauzeit</w:t>
            </w:r>
            <w:r>
              <w:rPr>
                <w:sz w:val="20"/>
                <w:szCs w:val="20"/>
              </w:rPr>
              <w:t>: Juli 2021 bis April 2024</w:t>
            </w:r>
            <w:r>
              <w:rPr>
                <w:sz w:val="20"/>
                <w:szCs w:val="20"/>
              </w:rPr>
              <w:br/>
            </w:r>
            <w:r w:rsidRPr="00963AF6">
              <w:rPr>
                <w:b/>
                <w:bCs/>
                <w:sz w:val="20"/>
                <w:szCs w:val="20"/>
              </w:rPr>
              <w:t>Außenanlagen</w:t>
            </w:r>
            <w:r>
              <w:rPr>
                <w:sz w:val="20"/>
                <w:szCs w:val="20"/>
              </w:rPr>
              <w:t>: Stefan Fromm Landschaftsarchitekten, Dettenhausen, www.fromm-landschaftsarchitekten.de</w:t>
            </w:r>
            <w:r>
              <w:rPr>
                <w:sz w:val="20"/>
                <w:szCs w:val="20"/>
              </w:rPr>
              <w:br/>
            </w:r>
            <w:r w:rsidRPr="00963AF6">
              <w:rPr>
                <w:b/>
                <w:bCs/>
                <w:sz w:val="20"/>
                <w:szCs w:val="20"/>
              </w:rPr>
              <w:t>Tragwerksplanung</w:t>
            </w:r>
            <w:r>
              <w:rPr>
                <w:sz w:val="20"/>
                <w:szCs w:val="20"/>
              </w:rPr>
              <w:t>: Furche Geiger Zimmermann Tragwerksplaner GmbH, Wendlingen, www.fuzi-tragwerke.de</w:t>
            </w:r>
            <w:r>
              <w:rPr>
                <w:sz w:val="20"/>
                <w:szCs w:val="20"/>
              </w:rPr>
              <w:br/>
            </w:r>
            <w:r w:rsidRPr="00963AF6">
              <w:rPr>
                <w:b/>
                <w:bCs/>
                <w:sz w:val="20"/>
                <w:szCs w:val="20"/>
              </w:rPr>
              <w:t>BGF</w:t>
            </w:r>
            <w:r>
              <w:rPr>
                <w:sz w:val="20"/>
                <w:szCs w:val="20"/>
              </w:rPr>
              <w:t>: 10.478 m²</w:t>
            </w:r>
            <w:r>
              <w:rPr>
                <w:sz w:val="20"/>
                <w:szCs w:val="20"/>
              </w:rPr>
              <w:br/>
            </w:r>
            <w:r w:rsidRPr="00963AF6">
              <w:rPr>
                <w:b/>
                <w:bCs/>
                <w:sz w:val="20"/>
                <w:szCs w:val="20"/>
              </w:rPr>
              <w:t>BRI</w:t>
            </w:r>
            <w:r>
              <w:rPr>
                <w:sz w:val="20"/>
                <w:szCs w:val="20"/>
              </w:rPr>
              <w:t>: 27.290 m³</w:t>
            </w:r>
            <w:r>
              <w:rPr>
                <w:sz w:val="20"/>
                <w:szCs w:val="20"/>
              </w:rPr>
              <w:br/>
            </w:r>
            <w:r w:rsidRPr="00963AF6">
              <w:rPr>
                <w:b/>
                <w:bCs/>
                <w:sz w:val="20"/>
                <w:szCs w:val="20"/>
              </w:rPr>
              <w:t>Wohnfläche</w:t>
            </w:r>
            <w:r>
              <w:rPr>
                <w:sz w:val="20"/>
                <w:szCs w:val="20"/>
              </w:rPr>
              <w:t>: 5.995 m²          </w:t>
            </w:r>
            <w:r>
              <w:rPr>
                <w:sz w:val="20"/>
                <w:szCs w:val="20"/>
              </w:rPr>
              <w:br/>
            </w:r>
            <w:r w:rsidRPr="00963AF6">
              <w:rPr>
                <w:b/>
                <w:bCs/>
                <w:sz w:val="20"/>
                <w:szCs w:val="20"/>
              </w:rPr>
              <w:t>Energiestandard</w:t>
            </w:r>
            <w:r>
              <w:rPr>
                <w:sz w:val="20"/>
                <w:szCs w:val="20"/>
              </w:rPr>
              <w:t>: Effizienz</w:t>
            </w:r>
            <w:r>
              <w:rPr>
                <w:sz w:val="20"/>
                <w:szCs w:val="20"/>
              </w:rPr>
              <w:softHyphen/>
              <w:t>haus 55</w:t>
            </w:r>
            <w:r>
              <w:rPr>
                <w:sz w:val="20"/>
                <w:szCs w:val="20"/>
              </w:rPr>
              <w:br/>
            </w:r>
            <w:r w:rsidRPr="00963AF6">
              <w:rPr>
                <w:b/>
                <w:bCs/>
                <w:sz w:val="20"/>
                <w:szCs w:val="20"/>
              </w:rPr>
              <w:t>Energieversorgungskonzept</w:t>
            </w:r>
            <w:r>
              <w:rPr>
                <w:sz w:val="20"/>
                <w:szCs w:val="20"/>
              </w:rPr>
              <w:t>: Nahwärme</w:t>
            </w:r>
          </w:p>
          <w:p w:rsidR="003B76CC" w:rsidRDefault="00000000">
            <w:pPr>
              <w:rPr>
                <w:sz w:val="20"/>
                <w:szCs w:val="20"/>
              </w:rPr>
            </w:pPr>
            <w:r>
              <w:rPr>
                <w:sz w:val="20"/>
                <w:szCs w:val="20"/>
              </w:rPr>
              <w:t>Stuttgart, Oktober 2024</w:t>
            </w:r>
            <w:r>
              <w:rPr>
                <w:sz w:val="20"/>
                <w:szCs w:val="20"/>
              </w:rPr>
              <w:br/>
              <w:t>Abdruck honorarfrei / Beleg erbeten</w:t>
            </w:r>
          </w:p>
        </w:tc>
        <w:tc>
          <w:tcPr>
            <w:tcW w:w="1200" w:type="pct"/>
            <w:tcBorders>
              <w:top w:val="nil"/>
              <w:left w:val="nil"/>
              <w:bottom w:val="nil"/>
              <w:right w:val="nil"/>
            </w:tcBorders>
            <w:shd w:val="clear" w:color="auto" w:fill="auto"/>
            <w:tcMar>
              <w:top w:w="0" w:type="dxa"/>
              <w:left w:w="0" w:type="dxa"/>
              <w:bottom w:w="0" w:type="dxa"/>
              <w:right w:w="227" w:type="dxa"/>
            </w:tcMar>
          </w:tcPr>
          <w:p w:rsidR="003B76CC" w:rsidRDefault="00000000">
            <w:pPr>
              <w:rPr>
                <w:sz w:val="20"/>
                <w:szCs w:val="20"/>
              </w:rPr>
            </w:pPr>
            <w:r>
              <w:rPr>
                <w:rFonts w:eastAsia="Arial"/>
                <w:b/>
                <w:sz w:val="20"/>
                <w:szCs w:val="20"/>
              </w:rPr>
              <w:lastRenderedPageBreak/>
              <w:t>Journalistenkontakt</w:t>
            </w:r>
            <w:r>
              <w:rPr>
                <w:rFonts w:eastAsia="Arial"/>
                <w:b/>
                <w:sz w:val="20"/>
                <w:szCs w:val="20"/>
              </w:rPr>
              <w:br/>
            </w:r>
            <w:r>
              <w:rPr>
                <w:rFonts w:eastAsia="Arial"/>
                <w:sz w:val="20"/>
                <w:szCs w:val="20"/>
              </w:rPr>
              <w:t>Rainer Häupl</w:t>
            </w:r>
            <w:r>
              <w:rPr>
                <w:rFonts w:eastAsia="Arial"/>
                <w:sz w:val="20"/>
                <w:szCs w:val="20"/>
              </w:rPr>
              <w:br/>
              <w:t>bering*</w:t>
            </w:r>
            <w:proofErr w:type="spellStart"/>
            <w:r>
              <w:rPr>
                <w:rFonts w:eastAsia="Arial"/>
                <w:sz w:val="20"/>
                <w:szCs w:val="20"/>
              </w:rPr>
              <w:t>kopal</w:t>
            </w:r>
            <w:proofErr w:type="spellEnd"/>
            <w:r>
              <w:rPr>
                <w:rFonts w:eastAsia="Arial"/>
                <w:sz w:val="20"/>
                <w:szCs w:val="20"/>
              </w:rPr>
              <w:t xml:space="preserve"> GbR, Büro für Kommunikation</w:t>
            </w:r>
            <w:r>
              <w:rPr>
                <w:rFonts w:eastAsia="Arial"/>
                <w:sz w:val="20"/>
                <w:szCs w:val="20"/>
              </w:rPr>
              <w:br/>
              <w:t>t +49(0)711 7451759-16</w:t>
            </w:r>
            <w:r>
              <w:rPr>
                <w:rFonts w:eastAsia="Arial"/>
                <w:sz w:val="20"/>
                <w:szCs w:val="20"/>
              </w:rPr>
              <w:br/>
              <w:t>rainer.haeupl@bering-kopal.de</w:t>
            </w:r>
            <w:r>
              <w:rPr>
                <w:rFonts w:eastAsia="Arial"/>
                <w:sz w:val="20"/>
                <w:szCs w:val="20"/>
              </w:rPr>
              <w:br/>
              <w:t>www.bering-kopal.de</w:t>
            </w:r>
            <w:r>
              <w:rPr>
                <w:rFonts w:eastAsia="Arial"/>
                <w:sz w:val="20"/>
                <w:szCs w:val="20"/>
              </w:rPr>
              <w:br/>
            </w:r>
            <w:r>
              <w:rPr>
                <w:rFonts w:eastAsia="Arial"/>
                <w:sz w:val="20"/>
                <w:szCs w:val="20"/>
              </w:rPr>
              <w:br/>
            </w:r>
            <w:r>
              <w:rPr>
                <w:rFonts w:eastAsia="Arial"/>
                <w:b/>
                <w:sz w:val="20"/>
                <w:szCs w:val="20"/>
              </w:rPr>
              <w:t>Architektenkontakt</w:t>
            </w:r>
            <w:r>
              <w:rPr>
                <w:rFonts w:eastAsia="Arial"/>
                <w:sz w:val="20"/>
                <w:szCs w:val="20"/>
              </w:rPr>
              <w:br/>
            </w:r>
            <w:proofErr w:type="spellStart"/>
            <w:r>
              <w:rPr>
                <w:rFonts w:eastAsia="Arial"/>
                <w:sz w:val="20"/>
                <w:szCs w:val="20"/>
              </w:rPr>
              <w:t>a+r</w:t>
            </w:r>
            <w:proofErr w:type="spellEnd"/>
            <w:r>
              <w:rPr>
                <w:rFonts w:eastAsia="Arial"/>
                <w:sz w:val="20"/>
                <w:szCs w:val="20"/>
              </w:rPr>
              <w:t xml:space="preserve"> Architekten GmbH</w:t>
            </w:r>
            <w:r>
              <w:rPr>
                <w:sz w:val="20"/>
                <w:szCs w:val="20"/>
              </w:rPr>
              <w:br/>
            </w:r>
            <w:r>
              <w:rPr>
                <w:rFonts w:eastAsia="Arial"/>
                <w:sz w:val="20"/>
                <w:szCs w:val="20"/>
              </w:rPr>
              <w:t>Miriam Gärtner</w:t>
            </w:r>
            <w:r>
              <w:rPr>
                <w:rFonts w:eastAsia="Arial"/>
                <w:sz w:val="20"/>
                <w:szCs w:val="20"/>
              </w:rPr>
              <w:br/>
              <w:t>Rotebühlstraße 89/2</w:t>
            </w:r>
            <w:r>
              <w:rPr>
                <w:sz w:val="20"/>
                <w:szCs w:val="20"/>
              </w:rPr>
              <w:br/>
            </w:r>
            <w:r>
              <w:rPr>
                <w:rFonts w:eastAsia="Arial"/>
                <w:sz w:val="20"/>
                <w:szCs w:val="20"/>
              </w:rPr>
              <w:t>D 70178 Stuttgart</w:t>
            </w:r>
            <w:r>
              <w:rPr>
                <w:sz w:val="20"/>
                <w:szCs w:val="20"/>
              </w:rPr>
              <w:br/>
            </w:r>
            <w:r>
              <w:rPr>
                <w:rFonts w:eastAsia="Arial"/>
                <w:sz w:val="20"/>
                <w:szCs w:val="20"/>
              </w:rPr>
              <w:t>t +49(0)711 722355-802</w:t>
            </w:r>
            <w:r>
              <w:rPr>
                <w:sz w:val="20"/>
                <w:szCs w:val="20"/>
              </w:rPr>
              <w:br/>
            </w:r>
            <w:r>
              <w:rPr>
                <w:rFonts w:eastAsia="Arial"/>
                <w:sz w:val="20"/>
                <w:szCs w:val="20"/>
              </w:rPr>
              <w:t>f +49(0)711 722355-22</w:t>
            </w:r>
            <w:r>
              <w:rPr>
                <w:sz w:val="20"/>
                <w:szCs w:val="20"/>
              </w:rPr>
              <w:br/>
            </w:r>
            <w:hyperlink r:id="rId7">
              <w:r>
                <w:rPr>
                  <w:rStyle w:val="Hyperlink"/>
                  <w:rFonts w:eastAsia="Arial"/>
                  <w:color w:val="000000"/>
                  <w:sz w:val="20"/>
                  <w:szCs w:val="20"/>
                </w:rPr>
                <w:t>pr@aplusr.de</w:t>
              </w:r>
            </w:hyperlink>
            <w:r>
              <w:rPr>
                <w:sz w:val="20"/>
                <w:szCs w:val="20"/>
              </w:rPr>
              <w:br/>
            </w:r>
            <w:hyperlink r:id="rId8" w:tgtFrame="_blank">
              <w:r>
                <w:rPr>
                  <w:rStyle w:val="Hyperlink"/>
                  <w:rFonts w:eastAsia="Arial"/>
                  <w:color w:val="000000"/>
                  <w:sz w:val="20"/>
                  <w:szCs w:val="20"/>
                </w:rPr>
                <w:t>www.aplusr.de</w:t>
              </w:r>
            </w:hyperlink>
          </w:p>
        </w:tc>
      </w:tr>
    </w:tbl>
    <w:p w:rsidR="003B76CC" w:rsidRDefault="00000000">
      <w:r>
        <w:lastRenderedPageBreak/>
        <w:br w:type="page"/>
      </w:r>
    </w:p>
    <w:p w:rsidR="003B76CC" w:rsidRDefault="00000000">
      <w:pPr>
        <w:spacing w:line="240" w:lineRule="auto"/>
        <w:rPr>
          <w:sz w:val="17"/>
          <w:szCs w:val="17"/>
        </w:rPr>
      </w:pPr>
      <w:r>
        <w:rPr>
          <w:b/>
          <w:sz w:val="17"/>
          <w:szCs w:val="17"/>
        </w:rPr>
        <w:lastRenderedPageBreak/>
        <w:t>1</w:t>
      </w:r>
      <w:r>
        <w:rPr>
          <w:sz w:val="17"/>
          <w:szCs w:val="17"/>
        </w:rPr>
        <w:t xml:space="preserve"> Der Nachbarschaftshof bildet das Herz des Quartiers und dient mit seinem offenen Pavillon als zentraler Anlaufpunkt. In unmittelbarer Nähe befinden sich Stellplätze für Car- und E-</w:t>
      </w:r>
      <w:proofErr w:type="spellStart"/>
      <w:r>
        <w:rPr>
          <w:sz w:val="17"/>
          <w:szCs w:val="17"/>
        </w:rPr>
        <w:t>Bikesharing</w:t>
      </w:r>
      <w:proofErr w:type="spellEnd"/>
      <w:r>
        <w:rPr>
          <w:sz w:val="17"/>
          <w:szCs w:val="17"/>
        </w:rPr>
        <w:t>, sowie E-Bike Ladestationen, die den Gemeinschaftsgedanken unterstützen und einen Beitrag zur zukunftsorientierten Mobilität leisten. Foto: Werner Huthmacher</w:t>
      </w:r>
      <w:r>
        <w:rPr>
          <w:sz w:val="17"/>
          <w:szCs w:val="17"/>
        </w:rPr>
        <w:br/>
        <w:t xml:space="preserve">BITTE BEACHTEN: Richten Sie Ihre Anfrage an </w:t>
      </w:r>
      <w:proofErr w:type="spellStart"/>
      <w:r>
        <w:rPr>
          <w:sz w:val="17"/>
          <w:szCs w:val="17"/>
        </w:rPr>
        <w:t>a+r</w:t>
      </w:r>
      <w:proofErr w:type="spellEnd"/>
      <w:r>
        <w:rPr>
          <w:sz w:val="17"/>
          <w:szCs w:val="17"/>
        </w:rPr>
        <w:t xml:space="preserve"> Architekten, Miriam Gärtner, um die Nutzungsrechte dieses Fotos abzuklären: pr@aplusr.de</w:t>
      </w:r>
      <w:r>
        <w:rPr>
          <w:sz w:val="17"/>
          <w:szCs w:val="17"/>
        </w:rPr>
        <w:br/>
      </w:r>
    </w:p>
    <w:p w:rsidR="003B76CC" w:rsidRDefault="00000000">
      <w:pPr>
        <w:spacing w:line="240" w:lineRule="auto"/>
        <w:rPr>
          <w:sz w:val="17"/>
          <w:szCs w:val="17"/>
        </w:rPr>
      </w:pPr>
      <w:r>
        <w:rPr>
          <w:b/>
          <w:sz w:val="17"/>
          <w:szCs w:val="17"/>
        </w:rPr>
        <w:t>2</w:t>
      </w:r>
      <w:r>
        <w:rPr>
          <w:sz w:val="17"/>
          <w:szCs w:val="17"/>
        </w:rPr>
        <w:t xml:space="preserve"> Zwischen den Hofhäusern und den Geschosswohnungsbauten befindet sich der Nachbarschaftshof in zentraler Lage. Foto: Werner Huthmacher</w:t>
      </w:r>
      <w:r>
        <w:rPr>
          <w:sz w:val="17"/>
          <w:szCs w:val="17"/>
        </w:rPr>
        <w:br/>
        <w:t xml:space="preserve">BITTE BEACHTEN: Richten Sie Ihre Anfrage an </w:t>
      </w:r>
      <w:proofErr w:type="spellStart"/>
      <w:r>
        <w:rPr>
          <w:sz w:val="17"/>
          <w:szCs w:val="17"/>
        </w:rPr>
        <w:t>a+r</w:t>
      </w:r>
      <w:proofErr w:type="spellEnd"/>
      <w:r>
        <w:rPr>
          <w:sz w:val="17"/>
          <w:szCs w:val="17"/>
        </w:rPr>
        <w:t xml:space="preserve"> Architekten, Miriam Gärtner, um die Nutzungsrechte dieses Fotos abzuklären: pr@aplusr.de</w:t>
      </w:r>
      <w:r>
        <w:rPr>
          <w:sz w:val="17"/>
          <w:szCs w:val="17"/>
        </w:rPr>
        <w:br/>
      </w:r>
    </w:p>
    <w:p w:rsidR="003B76CC" w:rsidRDefault="00000000">
      <w:pPr>
        <w:spacing w:line="240" w:lineRule="auto"/>
        <w:rPr>
          <w:sz w:val="17"/>
          <w:szCs w:val="17"/>
        </w:rPr>
      </w:pPr>
      <w:r>
        <w:rPr>
          <w:b/>
          <w:sz w:val="17"/>
          <w:szCs w:val="17"/>
        </w:rPr>
        <w:t>3</w:t>
      </w:r>
      <w:r>
        <w:rPr>
          <w:sz w:val="17"/>
          <w:szCs w:val="17"/>
        </w:rPr>
        <w:t xml:space="preserve"> Viel Platz zur Begegnung ermöglichen die unterschiedlich gestalteten Bereiche des Nachbarschaftshofes. Foto: Werner Huthmacher</w:t>
      </w:r>
      <w:r>
        <w:rPr>
          <w:sz w:val="17"/>
          <w:szCs w:val="17"/>
        </w:rPr>
        <w:br/>
        <w:t xml:space="preserve">BITTE BEACHTEN: Richten Sie Ihre Anfrage an </w:t>
      </w:r>
      <w:proofErr w:type="spellStart"/>
      <w:r>
        <w:rPr>
          <w:sz w:val="17"/>
          <w:szCs w:val="17"/>
        </w:rPr>
        <w:t>a+r</w:t>
      </w:r>
      <w:proofErr w:type="spellEnd"/>
      <w:r>
        <w:rPr>
          <w:sz w:val="17"/>
          <w:szCs w:val="17"/>
        </w:rPr>
        <w:t xml:space="preserve"> Architekten, Miriam Gärtner, um die Nutzungsrechte dieses Fotos abzuklären: pr@aplusr.de</w:t>
      </w:r>
      <w:r>
        <w:rPr>
          <w:sz w:val="17"/>
          <w:szCs w:val="17"/>
        </w:rPr>
        <w:br/>
      </w:r>
    </w:p>
    <w:p w:rsidR="003B76CC" w:rsidRDefault="00000000">
      <w:pPr>
        <w:spacing w:line="240" w:lineRule="auto"/>
        <w:rPr>
          <w:sz w:val="17"/>
          <w:szCs w:val="17"/>
        </w:rPr>
      </w:pPr>
      <w:r>
        <w:rPr>
          <w:b/>
          <w:sz w:val="17"/>
          <w:szCs w:val="17"/>
        </w:rPr>
        <w:t>4</w:t>
      </w:r>
      <w:r>
        <w:rPr>
          <w:sz w:val="17"/>
          <w:szCs w:val="17"/>
        </w:rPr>
        <w:t xml:space="preserve"> Der fließende Übergang zwischen privatem und öffentlichem Raum macht das Hofhaus ideal für Menschen, die sowohl ihren privaten Freiraum als auch das Leben in der Gemeinschaft schätzen. Jedes der 22 Hofhäuser verfügt über einen privaten Innenhof, der eine intime und individuelle Atmosphäre schafft. Foto: Werner Huthmacher</w:t>
      </w:r>
      <w:r>
        <w:rPr>
          <w:sz w:val="17"/>
          <w:szCs w:val="17"/>
        </w:rPr>
        <w:br/>
        <w:t xml:space="preserve">BITTE BEACHTEN: Richten Sie Ihre Anfrage an </w:t>
      </w:r>
      <w:proofErr w:type="spellStart"/>
      <w:r>
        <w:rPr>
          <w:sz w:val="17"/>
          <w:szCs w:val="17"/>
        </w:rPr>
        <w:t>a+r</w:t>
      </w:r>
      <w:proofErr w:type="spellEnd"/>
      <w:r>
        <w:rPr>
          <w:sz w:val="17"/>
          <w:szCs w:val="17"/>
        </w:rPr>
        <w:t xml:space="preserve"> Architekten, Miriam Gärtner, um die Nutzungsrechte dieses Fotos abzuklären: pr@aplusr.de</w:t>
      </w:r>
      <w:r>
        <w:rPr>
          <w:sz w:val="17"/>
          <w:szCs w:val="17"/>
        </w:rPr>
        <w:br/>
      </w:r>
      <w:r>
        <w:rPr>
          <w:sz w:val="17"/>
          <w:szCs w:val="17"/>
        </w:rPr>
        <w:br/>
      </w:r>
      <w:r>
        <w:rPr>
          <w:sz w:val="17"/>
          <w:szCs w:val="17"/>
        </w:rPr>
        <w:br/>
      </w:r>
    </w:p>
    <w:tbl>
      <w:tblPr>
        <w:tblStyle w:val="TabelleEinfach1"/>
        <w:tblW w:w="5000" w:type="pct"/>
        <w:tblLayout w:type="fixed"/>
        <w:tblCellMar>
          <w:left w:w="0" w:type="dxa"/>
          <w:right w:w="0" w:type="dxa"/>
        </w:tblCellMar>
        <w:tblLook w:val="04A0" w:firstRow="1" w:lastRow="0" w:firstColumn="1" w:lastColumn="0" w:noHBand="0" w:noVBand="1"/>
      </w:tblPr>
      <w:tblGrid>
        <w:gridCol w:w="4767"/>
        <w:gridCol w:w="218"/>
        <w:gridCol w:w="4767"/>
      </w:tblGrid>
      <w:tr w:rsidR="003B76CC">
        <w:tc>
          <w:tcPr>
            <w:tcW w:w="2444" w:type="pct"/>
            <w:tcBorders>
              <w:top w:val="nil"/>
              <w:left w:val="nil"/>
              <w:bottom w:val="nil"/>
              <w:right w:val="nil"/>
            </w:tcBorders>
            <w:shd w:val="clear" w:color="auto" w:fill="auto"/>
            <w:tcMar>
              <w:top w:w="0" w:type="dxa"/>
              <w:left w:w="0" w:type="dxa"/>
              <w:bottom w:w="0" w:type="dxa"/>
              <w:right w:w="0" w:type="dxa"/>
            </w:tcMar>
          </w:tcPr>
          <w:p w:rsidR="003B76CC" w:rsidRDefault="00000000">
            <w:pPr>
              <w:keepNext/>
              <w:keepLines/>
              <w:spacing w:line="240" w:lineRule="auto"/>
              <w:rPr>
                <w:sz w:val="14"/>
                <w:szCs w:val="14"/>
              </w:rPr>
            </w:pPr>
            <w:r>
              <w:rPr>
                <w:sz w:val="14"/>
                <w:szCs w:val="14"/>
              </w:rPr>
              <w:t>1.</w:t>
            </w:r>
          </w:p>
        </w:tc>
        <w:tc>
          <w:tcPr>
            <w:tcW w:w="112" w:type="pct"/>
            <w:tcBorders>
              <w:top w:val="nil"/>
              <w:left w:val="nil"/>
              <w:bottom w:val="nil"/>
              <w:right w:val="nil"/>
            </w:tcBorders>
            <w:shd w:val="clear" w:color="auto" w:fill="auto"/>
            <w:tcMar>
              <w:top w:w="0" w:type="dxa"/>
              <w:left w:w="0" w:type="dxa"/>
              <w:bottom w:w="0" w:type="dxa"/>
              <w:right w:w="0" w:type="dxa"/>
            </w:tcMar>
          </w:tcPr>
          <w:p w:rsidR="003B76CC" w:rsidRDefault="003B76CC">
            <w:pPr>
              <w:keepNext/>
              <w:keepLines/>
              <w:spacing w:line="240"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rsidR="003B76CC" w:rsidRDefault="00000000">
            <w:pPr>
              <w:keepNext/>
              <w:keepLines/>
              <w:spacing w:line="240" w:lineRule="auto"/>
              <w:rPr>
                <w:sz w:val="14"/>
                <w:szCs w:val="14"/>
              </w:rPr>
            </w:pPr>
            <w:r>
              <w:rPr>
                <w:sz w:val="14"/>
                <w:szCs w:val="14"/>
              </w:rPr>
              <w:t>2.</w:t>
            </w:r>
          </w:p>
        </w:tc>
      </w:tr>
      <w:tr w:rsidR="003B76CC">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3B76CC" w:rsidRDefault="00000000">
            <w:pPr>
              <w:keepNext/>
              <w:keepLines/>
              <w:spacing w:line="240" w:lineRule="auto"/>
              <w:rPr>
                <w:sz w:val="14"/>
                <w:szCs w:val="14"/>
              </w:rPr>
            </w:pPr>
            <w:r>
              <w:rPr>
                <w:noProof/>
                <w:sz w:val="14"/>
                <w:szCs w:val="14"/>
              </w:rPr>
              <w:drawing>
                <wp:inline distT="0" distB="0" distL="0" distR="0">
                  <wp:extent cx="2727960" cy="2014220"/>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dpi="0">
                          <a:blip r:embed="rId9"/>
                          <a:srcRect/>
                          <a:stretch>
                            <a:fillRect/>
                          </a:stretch>
                        </pic:blipFill>
                        <pic:spPr>
                          <a:xfrm>
                            <a:off x="0" y="0"/>
                            <a:ext cx="2727960" cy="201422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rsidR="003B76CC" w:rsidRDefault="003B76CC">
            <w:pPr>
              <w:keepNext/>
              <w:keepLines/>
              <w:spacing w:line="240" w:lineRule="auto"/>
              <w:rPr>
                <w:sz w:val="14"/>
                <w:szCs w:val="14"/>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3B76CC" w:rsidRDefault="00000000">
            <w:pPr>
              <w:keepNext/>
              <w:keepLines/>
              <w:spacing w:line="240" w:lineRule="auto"/>
              <w:rPr>
                <w:sz w:val="14"/>
                <w:szCs w:val="14"/>
              </w:rPr>
            </w:pPr>
            <w:r>
              <w:rPr>
                <w:noProof/>
                <w:sz w:val="14"/>
                <w:szCs w:val="14"/>
              </w:rPr>
              <w:drawing>
                <wp:inline distT="0" distB="0" distL="0" distR="0">
                  <wp:extent cx="2715260" cy="2014220"/>
                  <wp:effectExtent l="0" t="0" r="0" b="0"/>
                  <wp:docPr id="5" name="Pictu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dpi="0">
                          <a:blip r:embed="rId10"/>
                          <a:srcRect/>
                          <a:stretch>
                            <a:fillRect/>
                          </a:stretch>
                        </pic:blipFill>
                        <pic:spPr>
                          <a:xfrm>
                            <a:off x="0" y="0"/>
                            <a:ext cx="2715260" cy="2014220"/>
                          </a:xfrm>
                          <a:prstGeom prst="rect">
                            <a:avLst/>
                          </a:prstGeom>
                        </pic:spPr>
                      </pic:pic>
                    </a:graphicData>
                  </a:graphic>
                </wp:inline>
              </w:drawing>
            </w:r>
          </w:p>
        </w:tc>
      </w:tr>
      <w:tr w:rsidR="003B76CC">
        <w:tc>
          <w:tcPr>
            <w:tcW w:w="2444" w:type="pct"/>
            <w:tcBorders>
              <w:top w:val="nil"/>
              <w:left w:val="nil"/>
              <w:bottom w:val="nil"/>
              <w:right w:val="nil"/>
            </w:tcBorders>
            <w:shd w:val="clear" w:color="auto" w:fill="auto"/>
            <w:tcMar>
              <w:top w:w="0" w:type="dxa"/>
              <w:left w:w="0" w:type="dxa"/>
              <w:bottom w:w="0" w:type="dxa"/>
              <w:right w:w="0" w:type="dxa"/>
            </w:tcMar>
          </w:tcPr>
          <w:p w:rsidR="003B76CC" w:rsidRDefault="003B76CC">
            <w:pPr>
              <w:keepNext/>
              <w:keepLines/>
              <w:spacing w:line="240" w:lineRule="auto"/>
              <w:rPr>
                <w:sz w:val="14"/>
                <w:szCs w:val="14"/>
              </w:rPr>
            </w:pPr>
          </w:p>
        </w:tc>
        <w:tc>
          <w:tcPr>
            <w:tcW w:w="112" w:type="pct"/>
            <w:tcBorders>
              <w:top w:val="nil"/>
              <w:left w:val="nil"/>
              <w:bottom w:val="nil"/>
              <w:right w:val="nil"/>
            </w:tcBorders>
            <w:shd w:val="clear" w:color="auto" w:fill="auto"/>
            <w:tcMar>
              <w:top w:w="0" w:type="dxa"/>
              <w:left w:w="0" w:type="dxa"/>
              <w:bottom w:w="0" w:type="dxa"/>
              <w:right w:w="0" w:type="dxa"/>
            </w:tcMar>
          </w:tcPr>
          <w:p w:rsidR="003B76CC" w:rsidRDefault="003B76CC">
            <w:pPr>
              <w:keepNext/>
              <w:keepLines/>
              <w:spacing w:line="240"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rsidR="003B76CC" w:rsidRDefault="003B76CC">
            <w:pPr>
              <w:keepNext/>
              <w:keepLines/>
              <w:spacing w:line="240" w:lineRule="auto"/>
              <w:rPr>
                <w:sz w:val="14"/>
                <w:szCs w:val="14"/>
              </w:rPr>
            </w:pPr>
          </w:p>
        </w:tc>
      </w:tr>
      <w:tr w:rsidR="003B76CC">
        <w:tc>
          <w:tcPr>
            <w:tcW w:w="2444" w:type="pct"/>
            <w:tcBorders>
              <w:top w:val="nil"/>
              <w:left w:val="nil"/>
              <w:bottom w:val="nil"/>
              <w:right w:val="nil"/>
            </w:tcBorders>
            <w:shd w:val="clear" w:color="auto" w:fill="auto"/>
            <w:tcMar>
              <w:top w:w="0" w:type="dxa"/>
              <w:left w:w="0" w:type="dxa"/>
              <w:bottom w:w="0" w:type="dxa"/>
              <w:right w:w="0" w:type="dxa"/>
            </w:tcMar>
          </w:tcPr>
          <w:p w:rsidR="003B76CC" w:rsidRDefault="00000000">
            <w:pPr>
              <w:keepNext/>
              <w:keepLines/>
              <w:spacing w:line="240" w:lineRule="auto"/>
              <w:rPr>
                <w:sz w:val="14"/>
                <w:szCs w:val="14"/>
              </w:rPr>
            </w:pPr>
            <w:r>
              <w:rPr>
                <w:sz w:val="14"/>
                <w:szCs w:val="14"/>
              </w:rPr>
              <w:t>3.</w:t>
            </w:r>
          </w:p>
        </w:tc>
        <w:tc>
          <w:tcPr>
            <w:tcW w:w="112" w:type="pct"/>
            <w:tcBorders>
              <w:top w:val="nil"/>
              <w:left w:val="nil"/>
              <w:bottom w:val="nil"/>
              <w:right w:val="nil"/>
            </w:tcBorders>
            <w:shd w:val="clear" w:color="auto" w:fill="auto"/>
            <w:tcMar>
              <w:top w:w="0" w:type="dxa"/>
              <w:left w:w="0" w:type="dxa"/>
              <w:bottom w:w="0" w:type="dxa"/>
              <w:right w:w="0" w:type="dxa"/>
            </w:tcMar>
          </w:tcPr>
          <w:p w:rsidR="003B76CC" w:rsidRDefault="003B76CC">
            <w:pPr>
              <w:keepNext/>
              <w:keepLines/>
              <w:spacing w:line="240"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rsidR="003B76CC" w:rsidRDefault="00000000">
            <w:pPr>
              <w:keepNext/>
              <w:keepLines/>
              <w:spacing w:line="240" w:lineRule="auto"/>
              <w:rPr>
                <w:sz w:val="14"/>
                <w:szCs w:val="14"/>
              </w:rPr>
            </w:pPr>
            <w:r>
              <w:rPr>
                <w:sz w:val="14"/>
                <w:szCs w:val="14"/>
              </w:rPr>
              <w:t>4.</w:t>
            </w:r>
          </w:p>
        </w:tc>
      </w:tr>
      <w:tr w:rsidR="003B76CC">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3B76CC" w:rsidRDefault="00000000">
            <w:pPr>
              <w:keepNext/>
              <w:keepLines/>
              <w:spacing w:line="240" w:lineRule="auto"/>
              <w:rPr>
                <w:sz w:val="14"/>
                <w:szCs w:val="14"/>
              </w:rPr>
            </w:pPr>
            <w:r>
              <w:rPr>
                <w:noProof/>
                <w:sz w:val="14"/>
                <w:szCs w:val="14"/>
              </w:rPr>
              <w:drawing>
                <wp:inline distT="0" distB="0" distL="0" distR="0">
                  <wp:extent cx="2706370" cy="2014220"/>
                  <wp:effectExtent l="0" t="0" r="0" b="0"/>
                  <wp:docPr id="6" name="Pictu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dpi="0">
                          <a:blip r:embed="rId11"/>
                          <a:srcRect/>
                          <a:stretch>
                            <a:fillRect/>
                          </a:stretch>
                        </pic:blipFill>
                        <pic:spPr>
                          <a:xfrm>
                            <a:off x="0" y="0"/>
                            <a:ext cx="2706370" cy="201422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rsidR="003B76CC" w:rsidRDefault="003B76CC">
            <w:pPr>
              <w:keepNext/>
              <w:keepLines/>
              <w:spacing w:line="240" w:lineRule="auto"/>
              <w:rPr>
                <w:sz w:val="14"/>
                <w:szCs w:val="14"/>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3B76CC" w:rsidRDefault="00000000">
            <w:pPr>
              <w:keepNext/>
              <w:keepLines/>
              <w:spacing w:line="240" w:lineRule="auto"/>
              <w:rPr>
                <w:sz w:val="14"/>
                <w:szCs w:val="14"/>
              </w:rPr>
            </w:pPr>
            <w:r>
              <w:rPr>
                <w:noProof/>
                <w:sz w:val="14"/>
                <w:szCs w:val="14"/>
              </w:rPr>
              <w:drawing>
                <wp:inline distT="0" distB="0" distL="0" distR="0">
                  <wp:extent cx="1511300" cy="2014220"/>
                  <wp:effectExtent l="0" t="0" r="0" b="0"/>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dpi="0">
                          <a:blip r:embed="rId12"/>
                          <a:srcRect/>
                          <a:stretch>
                            <a:fillRect/>
                          </a:stretch>
                        </pic:blipFill>
                        <pic:spPr>
                          <a:xfrm>
                            <a:off x="0" y="0"/>
                            <a:ext cx="1511300" cy="2014220"/>
                          </a:xfrm>
                          <a:prstGeom prst="rect">
                            <a:avLst/>
                          </a:prstGeom>
                        </pic:spPr>
                      </pic:pic>
                    </a:graphicData>
                  </a:graphic>
                </wp:inline>
              </w:drawing>
            </w:r>
          </w:p>
        </w:tc>
      </w:tr>
    </w:tbl>
    <w:p w:rsidR="003B76CC" w:rsidRDefault="00000000">
      <w:pPr>
        <w:spacing w:line="240" w:lineRule="auto"/>
      </w:pPr>
      <w:r>
        <w:br w:type="page"/>
      </w:r>
    </w:p>
    <w:p w:rsidR="003B76CC" w:rsidRDefault="00000000">
      <w:pPr>
        <w:spacing w:line="240" w:lineRule="auto"/>
        <w:rPr>
          <w:sz w:val="17"/>
          <w:szCs w:val="17"/>
        </w:rPr>
      </w:pPr>
      <w:r>
        <w:rPr>
          <w:b/>
          <w:sz w:val="17"/>
          <w:szCs w:val="17"/>
        </w:rPr>
        <w:lastRenderedPageBreak/>
        <w:t>5</w:t>
      </w:r>
      <w:r>
        <w:rPr>
          <w:sz w:val="17"/>
          <w:szCs w:val="17"/>
        </w:rPr>
        <w:t xml:space="preserve"> An den Stirnseiten der Hofhäuser, in Richtung der Mehrfamilienhäuser, befinden sich jeweils zwei 2-Zimmerwohnungen im Obergeschoss. Sie sind über eine gemeinsame Treppe erschlossen. Foto: Werner Huthmacher </w:t>
      </w:r>
      <w:r>
        <w:rPr>
          <w:sz w:val="17"/>
          <w:szCs w:val="17"/>
        </w:rPr>
        <w:br/>
        <w:t xml:space="preserve">BITTE BEACHTEN: Richten Sie Ihre Anfrage an </w:t>
      </w:r>
      <w:proofErr w:type="spellStart"/>
      <w:r>
        <w:rPr>
          <w:sz w:val="17"/>
          <w:szCs w:val="17"/>
        </w:rPr>
        <w:t>a+r</w:t>
      </w:r>
      <w:proofErr w:type="spellEnd"/>
      <w:r>
        <w:rPr>
          <w:sz w:val="17"/>
          <w:szCs w:val="17"/>
        </w:rPr>
        <w:t xml:space="preserve"> Architekten, Miriam Gärtner, um die Nutzungsrechte dieses Fotos abzuklären: pr@aplusr.de</w:t>
      </w:r>
      <w:r>
        <w:rPr>
          <w:sz w:val="17"/>
          <w:szCs w:val="17"/>
        </w:rPr>
        <w:br/>
      </w:r>
    </w:p>
    <w:p w:rsidR="003B76CC" w:rsidRDefault="00000000">
      <w:pPr>
        <w:spacing w:line="240" w:lineRule="auto"/>
        <w:rPr>
          <w:sz w:val="17"/>
          <w:szCs w:val="17"/>
        </w:rPr>
      </w:pPr>
      <w:r>
        <w:rPr>
          <w:b/>
          <w:sz w:val="17"/>
          <w:szCs w:val="17"/>
        </w:rPr>
        <w:t>6</w:t>
      </w:r>
      <w:r>
        <w:rPr>
          <w:sz w:val="17"/>
          <w:szCs w:val="17"/>
        </w:rPr>
        <w:t xml:space="preserve"> Zu den quartiersinternen Fußwegen hin können die Außenwände der vorgefertigten Holzhäuser individuell durch Fassadenbegrünungen gestaltet werden, wodurch die Bewohner aktiv an der Gestaltung des Quartiers teilnehmen und gleichzeitig eine Verbindung zur angrenzenden Gartenschau entsteht. Foto: Werner Huthmacher</w:t>
      </w:r>
      <w:r>
        <w:rPr>
          <w:sz w:val="17"/>
          <w:szCs w:val="17"/>
        </w:rPr>
        <w:br/>
        <w:t xml:space="preserve">BITTE BEACHTEN: Richten Sie Ihre Anfrage an </w:t>
      </w:r>
      <w:proofErr w:type="spellStart"/>
      <w:r>
        <w:rPr>
          <w:sz w:val="17"/>
          <w:szCs w:val="17"/>
        </w:rPr>
        <w:t>a+r</w:t>
      </w:r>
      <w:proofErr w:type="spellEnd"/>
      <w:r>
        <w:rPr>
          <w:sz w:val="17"/>
          <w:szCs w:val="17"/>
        </w:rPr>
        <w:t xml:space="preserve"> Architekten, Miriam Gärtner, um die Nutzungsrechte dieses Fotos abzuklären: pr@aplusr.de</w:t>
      </w:r>
      <w:r>
        <w:rPr>
          <w:sz w:val="17"/>
          <w:szCs w:val="17"/>
        </w:rPr>
        <w:br/>
      </w:r>
    </w:p>
    <w:p w:rsidR="003B76CC" w:rsidRDefault="00000000">
      <w:pPr>
        <w:spacing w:line="240" w:lineRule="auto"/>
        <w:rPr>
          <w:sz w:val="17"/>
          <w:szCs w:val="17"/>
        </w:rPr>
      </w:pPr>
      <w:r>
        <w:rPr>
          <w:b/>
          <w:sz w:val="17"/>
          <w:szCs w:val="17"/>
        </w:rPr>
        <w:t>7</w:t>
      </w:r>
      <w:r>
        <w:rPr>
          <w:sz w:val="17"/>
          <w:szCs w:val="17"/>
        </w:rPr>
        <w:t xml:space="preserve"> Am Übergang zum </w:t>
      </w:r>
      <w:proofErr w:type="spellStart"/>
      <w:r>
        <w:rPr>
          <w:sz w:val="17"/>
          <w:szCs w:val="17"/>
        </w:rPr>
        <w:t>Auwiesenpark</w:t>
      </w:r>
      <w:proofErr w:type="spellEnd"/>
      <w:r>
        <w:rPr>
          <w:sz w:val="17"/>
          <w:szCs w:val="17"/>
        </w:rPr>
        <w:t>, dem Gelände der Landesgartenschau, setzen die drei Mehrgeschosswohnungsbauten eine klare räumliche Kante und bilden durch die begrünbare Regalkonstruktion dennoch einen weichen Übergang vom Park zur Quartiersbebauung. Foto: Werner Huthmacher</w:t>
      </w:r>
      <w:r>
        <w:rPr>
          <w:sz w:val="17"/>
          <w:szCs w:val="17"/>
        </w:rPr>
        <w:br/>
        <w:t xml:space="preserve">BITTE BEACHTEN: Richten Sie Ihre Anfrage an </w:t>
      </w:r>
      <w:proofErr w:type="spellStart"/>
      <w:r>
        <w:rPr>
          <w:sz w:val="17"/>
          <w:szCs w:val="17"/>
        </w:rPr>
        <w:t>a+r</w:t>
      </w:r>
      <w:proofErr w:type="spellEnd"/>
      <w:r>
        <w:rPr>
          <w:sz w:val="17"/>
          <w:szCs w:val="17"/>
        </w:rPr>
        <w:t xml:space="preserve"> Architekten, Miriam Gärtner, um die Nutzungsrechte dieses Fotos abzuklären: pr@aplusr.de</w:t>
      </w:r>
      <w:r>
        <w:rPr>
          <w:sz w:val="17"/>
          <w:szCs w:val="17"/>
        </w:rPr>
        <w:br/>
      </w:r>
    </w:p>
    <w:p w:rsidR="003B76CC" w:rsidRDefault="00000000">
      <w:pPr>
        <w:spacing w:line="240" w:lineRule="auto"/>
        <w:rPr>
          <w:sz w:val="17"/>
          <w:szCs w:val="17"/>
        </w:rPr>
      </w:pPr>
      <w:r>
        <w:rPr>
          <w:b/>
          <w:sz w:val="17"/>
          <w:szCs w:val="17"/>
        </w:rPr>
        <w:t>8</w:t>
      </w:r>
      <w:r>
        <w:rPr>
          <w:sz w:val="17"/>
          <w:szCs w:val="17"/>
        </w:rPr>
        <w:t xml:space="preserve"> Eine freistehende Aluminiumkonstruktion, die den drei Holzbauten vorgelagert ist, dient gleichzeitig als Gerüst für Kletterpflanzen und als Raum für die großzügig dimensionierten Balkone. Auf diese Weise entstehen ein gutes Mikroklima und eine hohe Wohnqualität. Foto: Werner Huthmacher</w:t>
      </w:r>
      <w:r>
        <w:rPr>
          <w:sz w:val="17"/>
          <w:szCs w:val="17"/>
        </w:rPr>
        <w:br/>
        <w:t xml:space="preserve">BITTE BEACHTEN: Richten Sie Ihre Anfrage an </w:t>
      </w:r>
      <w:proofErr w:type="spellStart"/>
      <w:r>
        <w:rPr>
          <w:sz w:val="17"/>
          <w:szCs w:val="17"/>
        </w:rPr>
        <w:t>a+r</w:t>
      </w:r>
      <w:proofErr w:type="spellEnd"/>
      <w:r>
        <w:rPr>
          <w:sz w:val="17"/>
          <w:szCs w:val="17"/>
        </w:rPr>
        <w:t xml:space="preserve"> Architekten, Miriam Gärtner, um die Nutzungsrechte dieses Fotos abzuklären: pr@aplusr.de</w:t>
      </w:r>
      <w:r>
        <w:rPr>
          <w:sz w:val="17"/>
          <w:szCs w:val="17"/>
        </w:rPr>
        <w:br/>
      </w:r>
      <w:r>
        <w:rPr>
          <w:sz w:val="17"/>
          <w:szCs w:val="17"/>
        </w:rPr>
        <w:br/>
      </w:r>
      <w:r>
        <w:rPr>
          <w:sz w:val="17"/>
          <w:szCs w:val="17"/>
        </w:rPr>
        <w:br/>
      </w:r>
    </w:p>
    <w:tbl>
      <w:tblPr>
        <w:tblStyle w:val="TabelleEinfach1"/>
        <w:tblW w:w="5000" w:type="pct"/>
        <w:tblLayout w:type="fixed"/>
        <w:tblCellMar>
          <w:left w:w="0" w:type="dxa"/>
          <w:right w:w="0" w:type="dxa"/>
        </w:tblCellMar>
        <w:tblLook w:val="04A0" w:firstRow="1" w:lastRow="0" w:firstColumn="1" w:lastColumn="0" w:noHBand="0" w:noVBand="1"/>
      </w:tblPr>
      <w:tblGrid>
        <w:gridCol w:w="4767"/>
        <w:gridCol w:w="218"/>
        <w:gridCol w:w="4767"/>
      </w:tblGrid>
      <w:tr w:rsidR="003B76CC">
        <w:tc>
          <w:tcPr>
            <w:tcW w:w="2444" w:type="pct"/>
            <w:tcBorders>
              <w:top w:val="nil"/>
              <w:left w:val="nil"/>
              <w:bottom w:val="nil"/>
              <w:right w:val="nil"/>
            </w:tcBorders>
            <w:shd w:val="clear" w:color="auto" w:fill="auto"/>
            <w:tcMar>
              <w:top w:w="0" w:type="dxa"/>
              <w:left w:w="0" w:type="dxa"/>
              <w:bottom w:w="0" w:type="dxa"/>
              <w:right w:w="0" w:type="dxa"/>
            </w:tcMar>
          </w:tcPr>
          <w:p w:rsidR="003B76CC" w:rsidRDefault="00000000">
            <w:pPr>
              <w:keepNext/>
              <w:keepLines/>
              <w:spacing w:line="240" w:lineRule="auto"/>
              <w:rPr>
                <w:sz w:val="14"/>
                <w:szCs w:val="14"/>
              </w:rPr>
            </w:pPr>
            <w:r>
              <w:rPr>
                <w:sz w:val="14"/>
                <w:szCs w:val="14"/>
              </w:rPr>
              <w:t>5.</w:t>
            </w:r>
          </w:p>
        </w:tc>
        <w:tc>
          <w:tcPr>
            <w:tcW w:w="112" w:type="pct"/>
            <w:tcBorders>
              <w:top w:val="nil"/>
              <w:left w:val="nil"/>
              <w:bottom w:val="nil"/>
              <w:right w:val="nil"/>
            </w:tcBorders>
            <w:shd w:val="clear" w:color="auto" w:fill="auto"/>
            <w:tcMar>
              <w:top w:w="0" w:type="dxa"/>
              <w:left w:w="0" w:type="dxa"/>
              <w:bottom w:w="0" w:type="dxa"/>
              <w:right w:w="0" w:type="dxa"/>
            </w:tcMar>
          </w:tcPr>
          <w:p w:rsidR="003B76CC" w:rsidRDefault="003B76CC">
            <w:pPr>
              <w:keepNext/>
              <w:keepLines/>
              <w:spacing w:line="240"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rsidR="003B76CC" w:rsidRDefault="00000000">
            <w:pPr>
              <w:keepNext/>
              <w:keepLines/>
              <w:spacing w:line="240" w:lineRule="auto"/>
              <w:rPr>
                <w:sz w:val="14"/>
                <w:szCs w:val="14"/>
              </w:rPr>
            </w:pPr>
            <w:r>
              <w:rPr>
                <w:sz w:val="14"/>
                <w:szCs w:val="14"/>
              </w:rPr>
              <w:t>6.</w:t>
            </w:r>
          </w:p>
        </w:tc>
      </w:tr>
      <w:tr w:rsidR="003B76CC">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3B76CC" w:rsidRDefault="00000000">
            <w:pPr>
              <w:keepNext/>
              <w:keepLines/>
              <w:spacing w:line="240" w:lineRule="auto"/>
              <w:rPr>
                <w:sz w:val="14"/>
                <w:szCs w:val="14"/>
              </w:rPr>
            </w:pPr>
            <w:r>
              <w:rPr>
                <w:noProof/>
                <w:sz w:val="14"/>
                <w:szCs w:val="14"/>
              </w:rPr>
              <w:drawing>
                <wp:inline distT="0" distB="0" distL="0" distR="0">
                  <wp:extent cx="1487170" cy="2014220"/>
                  <wp:effectExtent l="0" t="0" r="0" b="0"/>
                  <wp:docPr id="8" name="Pictu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dpi="0">
                          <a:blip r:embed="rId13"/>
                          <a:srcRect/>
                          <a:stretch>
                            <a:fillRect/>
                          </a:stretch>
                        </pic:blipFill>
                        <pic:spPr>
                          <a:xfrm>
                            <a:off x="0" y="0"/>
                            <a:ext cx="1487170" cy="201422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rsidR="003B76CC" w:rsidRDefault="003B76CC">
            <w:pPr>
              <w:keepNext/>
              <w:keepLines/>
              <w:spacing w:line="240" w:lineRule="auto"/>
              <w:rPr>
                <w:sz w:val="14"/>
                <w:szCs w:val="14"/>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3B76CC" w:rsidRDefault="00000000">
            <w:pPr>
              <w:keepNext/>
              <w:keepLines/>
              <w:spacing w:line="240" w:lineRule="auto"/>
              <w:rPr>
                <w:sz w:val="14"/>
                <w:szCs w:val="14"/>
              </w:rPr>
            </w:pPr>
            <w:r>
              <w:rPr>
                <w:noProof/>
                <w:sz w:val="14"/>
                <w:szCs w:val="14"/>
              </w:rPr>
              <w:drawing>
                <wp:inline distT="0" distB="0" distL="0" distR="0">
                  <wp:extent cx="1480820" cy="2014220"/>
                  <wp:effectExtent l="0" t="0" r="0" b="0"/>
                  <wp:docPr id="9"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dpi="0">
                          <a:blip r:embed="rId14"/>
                          <a:srcRect/>
                          <a:stretch>
                            <a:fillRect/>
                          </a:stretch>
                        </pic:blipFill>
                        <pic:spPr>
                          <a:xfrm>
                            <a:off x="0" y="0"/>
                            <a:ext cx="1480820" cy="2014220"/>
                          </a:xfrm>
                          <a:prstGeom prst="rect">
                            <a:avLst/>
                          </a:prstGeom>
                        </pic:spPr>
                      </pic:pic>
                    </a:graphicData>
                  </a:graphic>
                </wp:inline>
              </w:drawing>
            </w:r>
          </w:p>
        </w:tc>
      </w:tr>
      <w:tr w:rsidR="003B76CC">
        <w:tc>
          <w:tcPr>
            <w:tcW w:w="2444" w:type="pct"/>
            <w:tcBorders>
              <w:top w:val="nil"/>
              <w:left w:val="nil"/>
              <w:bottom w:val="nil"/>
              <w:right w:val="nil"/>
            </w:tcBorders>
            <w:shd w:val="clear" w:color="auto" w:fill="auto"/>
            <w:tcMar>
              <w:top w:w="0" w:type="dxa"/>
              <w:left w:w="0" w:type="dxa"/>
              <w:bottom w:w="0" w:type="dxa"/>
              <w:right w:w="0" w:type="dxa"/>
            </w:tcMar>
          </w:tcPr>
          <w:p w:rsidR="003B76CC" w:rsidRDefault="003B76CC">
            <w:pPr>
              <w:keepNext/>
              <w:keepLines/>
              <w:spacing w:line="240" w:lineRule="auto"/>
              <w:rPr>
                <w:sz w:val="14"/>
                <w:szCs w:val="14"/>
              </w:rPr>
            </w:pPr>
          </w:p>
        </w:tc>
        <w:tc>
          <w:tcPr>
            <w:tcW w:w="112" w:type="pct"/>
            <w:tcBorders>
              <w:top w:val="nil"/>
              <w:left w:val="nil"/>
              <w:bottom w:val="nil"/>
              <w:right w:val="nil"/>
            </w:tcBorders>
            <w:shd w:val="clear" w:color="auto" w:fill="auto"/>
            <w:tcMar>
              <w:top w:w="0" w:type="dxa"/>
              <w:left w:w="0" w:type="dxa"/>
              <w:bottom w:w="0" w:type="dxa"/>
              <w:right w:w="0" w:type="dxa"/>
            </w:tcMar>
          </w:tcPr>
          <w:p w:rsidR="003B76CC" w:rsidRDefault="003B76CC">
            <w:pPr>
              <w:keepNext/>
              <w:keepLines/>
              <w:spacing w:line="240"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rsidR="003B76CC" w:rsidRDefault="003B76CC">
            <w:pPr>
              <w:keepNext/>
              <w:keepLines/>
              <w:spacing w:line="240" w:lineRule="auto"/>
              <w:rPr>
                <w:sz w:val="14"/>
                <w:szCs w:val="14"/>
              </w:rPr>
            </w:pPr>
          </w:p>
        </w:tc>
      </w:tr>
      <w:tr w:rsidR="003B76CC">
        <w:tc>
          <w:tcPr>
            <w:tcW w:w="2444" w:type="pct"/>
            <w:tcBorders>
              <w:top w:val="nil"/>
              <w:left w:val="nil"/>
              <w:bottom w:val="nil"/>
              <w:right w:val="nil"/>
            </w:tcBorders>
            <w:shd w:val="clear" w:color="auto" w:fill="auto"/>
            <w:tcMar>
              <w:top w:w="0" w:type="dxa"/>
              <w:left w:w="0" w:type="dxa"/>
              <w:bottom w:w="0" w:type="dxa"/>
              <w:right w:w="0" w:type="dxa"/>
            </w:tcMar>
          </w:tcPr>
          <w:p w:rsidR="003B76CC" w:rsidRDefault="00000000">
            <w:pPr>
              <w:keepNext/>
              <w:keepLines/>
              <w:spacing w:line="240" w:lineRule="auto"/>
              <w:rPr>
                <w:sz w:val="14"/>
                <w:szCs w:val="14"/>
              </w:rPr>
            </w:pPr>
            <w:r>
              <w:rPr>
                <w:sz w:val="14"/>
                <w:szCs w:val="14"/>
              </w:rPr>
              <w:t>7.</w:t>
            </w:r>
          </w:p>
        </w:tc>
        <w:tc>
          <w:tcPr>
            <w:tcW w:w="112" w:type="pct"/>
            <w:tcBorders>
              <w:top w:val="nil"/>
              <w:left w:val="nil"/>
              <w:bottom w:val="nil"/>
              <w:right w:val="nil"/>
            </w:tcBorders>
            <w:shd w:val="clear" w:color="auto" w:fill="auto"/>
            <w:tcMar>
              <w:top w:w="0" w:type="dxa"/>
              <w:left w:w="0" w:type="dxa"/>
              <w:bottom w:w="0" w:type="dxa"/>
              <w:right w:w="0" w:type="dxa"/>
            </w:tcMar>
          </w:tcPr>
          <w:p w:rsidR="003B76CC" w:rsidRDefault="003B76CC">
            <w:pPr>
              <w:keepNext/>
              <w:keepLines/>
              <w:spacing w:line="240"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rsidR="003B76CC" w:rsidRDefault="00000000">
            <w:pPr>
              <w:keepNext/>
              <w:keepLines/>
              <w:spacing w:line="240" w:lineRule="auto"/>
              <w:rPr>
                <w:sz w:val="14"/>
                <w:szCs w:val="14"/>
              </w:rPr>
            </w:pPr>
            <w:r>
              <w:rPr>
                <w:sz w:val="14"/>
                <w:szCs w:val="14"/>
              </w:rPr>
              <w:t>8.</w:t>
            </w:r>
          </w:p>
        </w:tc>
      </w:tr>
      <w:tr w:rsidR="003B76CC">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3B76CC" w:rsidRDefault="00000000">
            <w:pPr>
              <w:keepNext/>
              <w:keepLines/>
              <w:spacing w:line="240" w:lineRule="auto"/>
              <w:rPr>
                <w:sz w:val="14"/>
                <w:szCs w:val="14"/>
              </w:rPr>
            </w:pPr>
            <w:r>
              <w:rPr>
                <w:noProof/>
                <w:sz w:val="14"/>
                <w:szCs w:val="14"/>
              </w:rPr>
              <w:drawing>
                <wp:inline distT="0" distB="0" distL="0" distR="0">
                  <wp:extent cx="1511300" cy="2014220"/>
                  <wp:effectExtent l="0" t="0" r="0" b="0"/>
                  <wp:docPr id="10" name="Pictu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dpi="0">
                          <a:blip r:embed="rId15"/>
                          <a:srcRect/>
                          <a:stretch>
                            <a:fillRect/>
                          </a:stretch>
                        </pic:blipFill>
                        <pic:spPr>
                          <a:xfrm>
                            <a:off x="0" y="0"/>
                            <a:ext cx="1511300" cy="201422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rsidR="003B76CC" w:rsidRDefault="003B76CC">
            <w:pPr>
              <w:keepNext/>
              <w:keepLines/>
              <w:spacing w:line="240" w:lineRule="auto"/>
              <w:rPr>
                <w:sz w:val="14"/>
                <w:szCs w:val="14"/>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3B76CC" w:rsidRDefault="00000000">
            <w:pPr>
              <w:keepNext/>
              <w:keepLines/>
              <w:spacing w:line="240" w:lineRule="auto"/>
              <w:rPr>
                <w:sz w:val="14"/>
                <w:szCs w:val="14"/>
              </w:rPr>
            </w:pPr>
            <w:r>
              <w:rPr>
                <w:noProof/>
                <w:sz w:val="14"/>
                <w:szCs w:val="14"/>
              </w:rPr>
              <w:drawing>
                <wp:inline distT="0" distB="0" distL="0" distR="0">
                  <wp:extent cx="1544955" cy="2014220"/>
                  <wp:effectExtent l="0" t="0" r="0" b="0"/>
                  <wp:docPr id="11"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dpi="0">
                          <a:blip r:embed="rId16"/>
                          <a:srcRect/>
                          <a:stretch>
                            <a:fillRect/>
                          </a:stretch>
                        </pic:blipFill>
                        <pic:spPr>
                          <a:xfrm>
                            <a:off x="0" y="0"/>
                            <a:ext cx="1544955" cy="2014220"/>
                          </a:xfrm>
                          <a:prstGeom prst="rect">
                            <a:avLst/>
                          </a:prstGeom>
                        </pic:spPr>
                      </pic:pic>
                    </a:graphicData>
                  </a:graphic>
                </wp:inline>
              </w:drawing>
            </w:r>
          </w:p>
        </w:tc>
      </w:tr>
    </w:tbl>
    <w:p w:rsidR="003B76CC" w:rsidRDefault="00000000">
      <w:pPr>
        <w:spacing w:line="240" w:lineRule="auto"/>
      </w:pPr>
      <w:r>
        <w:br w:type="page"/>
      </w:r>
    </w:p>
    <w:p w:rsidR="003B76CC" w:rsidRDefault="00000000">
      <w:pPr>
        <w:spacing w:line="240" w:lineRule="auto"/>
        <w:rPr>
          <w:sz w:val="17"/>
          <w:szCs w:val="17"/>
        </w:rPr>
      </w:pPr>
      <w:r>
        <w:rPr>
          <w:b/>
          <w:sz w:val="17"/>
          <w:szCs w:val="17"/>
        </w:rPr>
        <w:lastRenderedPageBreak/>
        <w:t>9</w:t>
      </w:r>
      <w:r>
        <w:rPr>
          <w:sz w:val="17"/>
          <w:szCs w:val="17"/>
        </w:rPr>
        <w:t xml:space="preserve"> Zusätzlich zu den privaten Freiflächen, in Form von Balkonen bzw. Terrassen, stehen den Bewohnerinnen und Bewohnern der Mehrfamilienhäuser gemeinschaftlich nutzbare Dachterrassen zur Verfügung, auf deren Gestaltung besonderes Augenmerk gelegt wurde. Foto: Werner Huthmacher</w:t>
      </w:r>
      <w:r>
        <w:rPr>
          <w:sz w:val="17"/>
          <w:szCs w:val="17"/>
        </w:rPr>
        <w:br/>
        <w:t xml:space="preserve">BITTE BEACHTEN: Richten Sie Ihre Anfrage an </w:t>
      </w:r>
      <w:proofErr w:type="spellStart"/>
      <w:r>
        <w:rPr>
          <w:sz w:val="17"/>
          <w:szCs w:val="17"/>
        </w:rPr>
        <w:t>a+r</w:t>
      </w:r>
      <w:proofErr w:type="spellEnd"/>
      <w:r>
        <w:rPr>
          <w:sz w:val="17"/>
          <w:szCs w:val="17"/>
        </w:rPr>
        <w:t xml:space="preserve"> Architekten, Miriam Gärtner, um die Nutzungsrechte dieses Fotos abzuklären: pr@aplusr.de</w:t>
      </w:r>
      <w:r>
        <w:rPr>
          <w:sz w:val="17"/>
          <w:szCs w:val="17"/>
        </w:rPr>
        <w:br/>
      </w:r>
    </w:p>
    <w:p w:rsidR="003B76CC" w:rsidRDefault="00000000">
      <w:pPr>
        <w:spacing w:line="240" w:lineRule="auto"/>
        <w:rPr>
          <w:sz w:val="17"/>
          <w:szCs w:val="17"/>
        </w:rPr>
      </w:pPr>
      <w:r>
        <w:rPr>
          <w:b/>
          <w:sz w:val="17"/>
          <w:szCs w:val="17"/>
        </w:rPr>
        <w:t>10</w:t>
      </w:r>
      <w:r>
        <w:rPr>
          <w:sz w:val="17"/>
          <w:szCs w:val="17"/>
        </w:rPr>
        <w:t xml:space="preserve"> Da die Brandschutzauflagen der Decken über den </w:t>
      </w:r>
      <w:proofErr w:type="spellStart"/>
      <w:r>
        <w:rPr>
          <w:sz w:val="17"/>
          <w:szCs w:val="17"/>
        </w:rPr>
        <w:t>Abbrandnachweis</w:t>
      </w:r>
      <w:proofErr w:type="spellEnd"/>
      <w:r>
        <w:rPr>
          <w:sz w:val="17"/>
          <w:szCs w:val="17"/>
        </w:rPr>
        <w:t xml:space="preserve"> erfüllt werden konnten, war es möglich, diese sichtbar zu lassen. Foto: Werner Huthmacher</w:t>
      </w:r>
      <w:r>
        <w:rPr>
          <w:sz w:val="17"/>
          <w:szCs w:val="17"/>
        </w:rPr>
        <w:br/>
        <w:t xml:space="preserve">BITTE BEACHTEN: Richten Sie Ihre Anfrage an </w:t>
      </w:r>
      <w:proofErr w:type="spellStart"/>
      <w:r>
        <w:rPr>
          <w:sz w:val="17"/>
          <w:szCs w:val="17"/>
        </w:rPr>
        <w:t>a+r</w:t>
      </w:r>
      <w:proofErr w:type="spellEnd"/>
      <w:r>
        <w:rPr>
          <w:sz w:val="17"/>
          <w:szCs w:val="17"/>
        </w:rPr>
        <w:t xml:space="preserve"> Architekten, Miriam Gärtner, um die Nutzungsrechte dieses Fotos abzuklären: pr@aplusr.de</w:t>
      </w:r>
      <w:r>
        <w:rPr>
          <w:sz w:val="17"/>
          <w:szCs w:val="17"/>
        </w:rPr>
        <w:br/>
      </w:r>
    </w:p>
    <w:p w:rsidR="003B76CC" w:rsidRDefault="00000000">
      <w:pPr>
        <w:spacing w:line="240" w:lineRule="auto"/>
        <w:rPr>
          <w:sz w:val="17"/>
          <w:szCs w:val="17"/>
        </w:rPr>
      </w:pPr>
      <w:r>
        <w:rPr>
          <w:b/>
          <w:sz w:val="17"/>
          <w:szCs w:val="17"/>
        </w:rPr>
        <w:t>11</w:t>
      </w:r>
      <w:r>
        <w:rPr>
          <w:sz w:val="17"/>
          <w:szCs w:val="17"/>
        </w:rPr>
        <w:t xml:space="preserve"> Grundriss Erdgeschoss Wohnbebauung Auwiesen in Wangen im Allgäu. Zeichnung: </w:t>
      </w:r>
      <w:proofErr w:type="spellStart"/>
      <w:r>
        <w:rPr>
          <w:sz w:val="17"/>
          <w:szCs w:val="17"/>
        </w:rPr>
        <w:t>a+r</w:t>
      </w:r>
      <w:proofErr w:type="spellEnd"/>
      <w:r>
        <w:rPr>
          <w:sz w:val="17"/>
          <w:szCs w:val="17"/>
        </w:rPr>
        <w:t xml:space="preserve"> Architekten</w:t>
      </w:r>
      <w:r>
        <w:rPr>
          <w:sz w:val="17"/>
          <w:szCs w:val="17"/>
        </w:rPr>
        <w:br/>
      </w:r>
    </w:p>
    <w:p w:rsidR="003B76CC" w:rsidRDefault="00000000">
      <w:pPr>
        <w:spacing w:line="240" w:lineRule="auto"/>
        <w:rPr>
          <w:sz w:val="17"/>
          <w:szCs w:val="17"/>
        </w:rPr>
      </w:pPr>
      <w:r>
        <w:rPr>
          <w:b/>
          <w:sz w:val="17"/>
          <w:szCs w:val="17"/>
        </w:rPr>
        <w:t>12</w:t>
      </w:r>
      <w:r>
        <w:rPr>
          <w:sz w:val="17"/>
          <w:szCs w:val="17"/>
        </w:rPr>
        <w:t xml:space="preserve"> Grundriss 1. Obergeschoss Wohnbebauung Auwiesen in Wangen im Allgäu. Zeichnung: </w:t>
      </w:r>
      <w:proofErr w:type="spellStart"/>
      <w:r>
        <w:rPr>
          <w:sz w:val="17"/>
          <w:szCs w:val="17"/>
        </w:rPr>
        <w:t>a+r</w:t>
      </w:r>
      <w:proofErr w:type="spellEnd"/>
      <w:r>
        <w:rPr>
          <w:sz w:val="17"/>
          <w:szCs w:val="17"/>
        </w:rPr>
        <w:t xml:space="preserve"> Architekten</w:t>
      </w:r>
      <w:r>
        <w:rPr>
          <w:sz w:val="17"/>
          <w:szCs w:val="17"/>
        </w:rPr>
        <w:br/>
      </w:r>
      <w:r>
        <w:rPr>
          <w:sz w:val="17"/>
          <w:szCs w:val="17"/>
        </w:rPr>
        <w:br/>
      </w:r>
      <w:r>
        <w:rPr>
          <w:sz w:val="17"/>
          <w:szCs w:val="17"/>
        </w:rPr>
        <w:br/>
      </w:r>
    </w:p>
    <w:tbl>
      <w:tblPr>
        <w:tblStyle w:val="TabelleEinfach1"/>
        <w:tblW w:w="5000" w:type="pct"/>
        <w:tblLayout w:type="fixed"/>
        <w:tblCellMar>
          <w:left w:w="0" w:type="dxa"/>
          <w:right w:w="0" w:type="dxa"/>
        </w:tblCellMar>
        <w:tblLook w:val="04A0" w:firstRow="1" w:lastRow="0" w:firstColumn="1" w:lastColumn="0" w:noHBand="0" w:noVBand="1"/>
      </w:tblPr>
      <w:tblGrid>
        <w:gridCol w:w="4767"/>
        <w:gridCol w:w="218"/>
        <w:gridCol w:w="4767"/>
      </w:tblGrid>
      <w:tr w:rsidR="003B76CC">
        <w:tc>
          <w:tcPr>
            <w:tcW w:w="2444" w:type="pct"/>
            <w:tcBorders>
              <w:top w:val="nil"/>
              <w:left w:val="nil"/>
              <w:bottom w:val="nil"/>
              <w:right w:val="nil"/>
            </w:tcBorders>
            <w:shd w:val="clear" w:color="auto" w:fill="auto"/>
            <w:tcMar>
              <w:top w:w="0" w:type="dxa"/>
              <w:left w:w="0" w:type="dxa"/>
              <w:bottom w:w="0" w:type="dxa"/>
              <w:right w:w="0" w:type="dxa"/>
            </w:tcMar>
          </w:tcPr>
          <w:p w:rsidR="003B76CC" w:rsidRDefault="00000000">
            <w:pPr>
              <w:keepNext/>
              <w:keepLines/>
              <w:spacing w:line="240" w:lineRule="auto"/>
              <w:rPr>
                <w:sz w:val="14"/>
                <w:szCs w:val="14"/>
              </w:rPr>
            </w:pPr>
            <w:r>
              <w:rPr>
                <w:sz w:val="14"/>
                <w:szCs w:val="14"/>
              </w:rPr>
              <w:t>9.</w:t>
            </w:r>
          </w:p>
        </w:tc>
        <w:tc>
          <w:tcPr>
            <w:tcW w:w="112" w:type="pct"/>
            <w:tcBorders>
              <w:top w:val="nil"/>
              <w:left w:val="nil"/>
              <w:bottom w:val="nil"/>
              <w:right w:val="nil"/>
            </w:tcBorders>
            <w:shd w:val="clear" w:color="auto" w:fill="auto"/>
            <w:tcMar>
              <w:top w:w="0" w:type="dxa"/>
              <w:left w:w="0" w:type="dxa"/>
              <w:bottom w:w="0" w:type="dxa"/>
              <w:right w:w="0" w:type="dxa"/>
            </w:tcMar>
          </w:tcPr>
          <w:p w:rsidR="003B76CC" w:rsidRDefault="003B76CC">
            <w:pPr>
              <w:keepNext/>
              <w:keepLines/>
              <w:spacing w:line="240"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rsidR="003B76CC" w:rsidRDefault="00000000">
            <w:pPr>
              <w:keepNext/>
              <w:keepLines/>
              <w:spacing w:line="240" w:lineRule="auto"/>
              <w:rPr>
                <w:sz w:val="14"/>
                <w:szCs w:val="14"/>
              </w:rPr>
            </w:pPr>
            <w:r>
              <w:rPr>
                <w:sz w:val="14"/>
                <w:szCs w:val="14"/>
              </w:rPr>
              <w:t>10.</w:t>
            </w:r>
          </w:p>
        </w:tc>
      </w:tr>
      <w:tr w:rsidR="003B76CC">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3B76CC" w:rsidRDefault="00000000">
            <w:pPr>
              <w:keepNext/>
              <w:keepLines/>
              <w:spacing w:line="240" w:lineRule="auto"/>
              <w:rPr>
                <w:sz w:val="14"/>
                <w:szCs w:val="14"/>
              </w:rPr>
            </w:pPr>
            <w:r>
              <w:rPr>
                <w:noProof/>
                <w:sz w:val="14"/>
                <w:szCs w:val="14"/>
              </w:rPr>
              <w:drawing>
                <wp:inline distT="0" distB="0" distL="0" distR="0">
                  <wp:extent cx="2282825" cy="2014220"/>
                  <wp:effectExtent l="0" t="0" r="0" b="0"/>
                  <wp:docPr id="12" name="Picture 1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dpi="0">
                          <a:blip r:embed="rId17"/>
                          <a:srcRect/>
                          <a:stretch>
                            <a:fillRect/>
                          </a:stretch>
                        </pic:blipFill>
                        <pic:spPr>
                          <a:xfrm>
                            <a:off x="0" y="0"/>
                            <a:ext cx="2282825" cy="201422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rsidR="003B76CC" w:rsidRDefault="003B76CC">
            <w:pPr>
              <w:keepNext/>
              <w:keepLines/>
              <w:spacing w:line="240" w:lineRule="auto"/>
              <w:rPr>
                <w:sz w:val="14"/>
                <w:szCs w:val="14"/>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3B76CC" w:rsidRDefault="00000000">
            <w:pPr>
              <w:keepNext/>
              <w:keepLines/>
              <w:spacing w:line="240" w:lineRule="auto"/>
              <w:rPr>
                <w:sz w:val="14"/>
                <w:szCs w:val="14"/>
              </w:rPr>
            </w:pPr>
            <w:r>
              <w:rPr>
                <w:noProof/>
                <w:sz w:val="14"/>
                <w:szCs w:val="14"/>
              </w:rPr>
              <w:drawing>
                <wp:inline distT="0" distB="0" distL="0" distR="0">
                  <wp:extent cx="2825115" cy="2014220"/>
                  <wp:effectExtent l="0" t="0" r="0" b="0"/>
                  <wp:docPr id="13" name="Picture 13"/>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dpi="0">
                          <a:blip r:embed="rId18"/>
                          <a:srcRect/>
                          <a:stretch>
                            <a:fillRect/>
                          </a:stretch>
                        </pic:blipFill>
                        <pic:spPr>
                          <a:xfrm>
                            <a:off x="0" y="0"/>
                            <a:ext cx="2825115" cy="2014220"/>
                          </a:xfrm>
                          <a:prstGeom prst="rect">
                            <a:avLst/>
                          </a:prstGeom>
                        </pic:spPr>
                      </pic:pic>
                    </a:graphicData>
                  </a:graphic>
                </wp:inline>
              </w:drawing>
            </w:r>
          </w:p>
        </w:tc>
      </w:tr>
      <w:tr w:rsidR="003B76CC">
        <w:tc>
          <w:tcPr>
            <w:tcW w:w="2444" w:type="pct"/>
            <w:tcBorders>
              <w:top w:val="nil"/>
              <w:left w:val="nil"/>
              <w:bottom w:val="nil"/>
              <w:right w:val="nil"/>
            </w:tcBorders>
            <w:shd w:val="clear" w:color="auto" w:fill="auto"/>
            <w:tcMar>
              <w:top w:w="0" w:type="dxa"/>
              <w:left w:w="0" w:type="dxa"/>
              <w:bottom w:w="0" w:type="dxa"/>
              <w:right w:w="0" w:type="dxa"/>
            </w:tcMar>
          </w:tcPr>
          <w:p w:rsidR="003B76CC" w:rsidRDefault="003B76CC">
            <w:pPr>
              <w:keepNext/>
              <w:keepLines/>
              <w:spacing w:line="240" w:lineRule="auto"/>
              <w:rPr>
                <w:sz w:val="14"/>
                <w:szCs w:val="14"/>
              </w:rPr>
            </w:pPr>
          </w:p>
        </w:tc>
        <w:tc>
          <w:tcPr>
            <w:tcW w:w="112" w:type="pct"/>
            <w:tcBorders>
              <w:top w:val="nil"/>
              <w:left w:val="nil"/>
              <w:bottom w:val="nil"/>
              <w:right w:val="nil"/>
            </w:tcBorders>
            <w:shd w:val="clear" w:color="auto" w:fill="auto"/>
            <w:tcMar>
              <w:top w:w="0" w:type="dxa"/>
              <w:left w:w="0" w:type="dxa"/>
              <w:bottom w:w="0" w:type="dxa"/>
              <w:right w:w="0" w:type="dxa"/>
            </w:tcMar>
          </w:tcPr>
          <w:p w:rsidR="003B76CC" w:rsidRDefault="003B76CC">
            <w:pPr>
              <w:keepNext/>
              <w:keepLines/>
              <w:spacing w:line="240"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rsidR="003B76CC" w:rsidRDefault="003B76CC">
            <w:pPr>
              <w:keepNext/>
              <w:keepLines/>
              <w:spacing w:line="240" w:lineRule="auto"/>
              <w:rPr>
                <w:sz w:val="14"/>
                <w:szCs w:val="14"/>
              </w:rPr>
            </w:pPr>
          </w:p>
        </w:tc>
      </w:tr>
      <w:tr w:rsidR="003B76CC">
        <w:tc>
          <w:tcPr>
            <w:tcW w:w="2444" w:type="pct"/>
            <w:tcBorders>
              <w:top w:val="nil"/>
              <w:left w:val="nil"/>
              <w:bottom w:val="nil"/>
              <w:right w:val="nil"/>
            </w:tcBorders>
            <w:shd w:val="clear" w:color="auto" w:fill="auto"/>
            <w:tcMar>
              <w:top w:w="0" w:type="dxa"/>
              <w:left w:w="0" w:type="dxa"/>
              <w:bottom w:w="0" w:type="dxa"/>
              <w:right w:w="0" w:type="dxa"/>
            </w:tcMar>
          </w:tcPr>
          <w:p w:rsidR="003B76CC" w:rsidRDefault="00000000">
            <w:pPr>
              <w:keepNext/>
              <w:keepLines/>
              <w:spacing w:line="240" w:lineRule="auto"/>
              <w:rPr>
                <w:sz w:val="14"/>
                <w:szCs w:val="14"/>
              </w:rPr>
            </w:pPr>
            <w:r>
              <w:rPr>
                <w:sz w:val="14"/>
                <w:szCs w:val="14"/>
              </w:rPr>
              <w:t>11.</w:t>
            </w:r>
          </w:p>
        </w:tc>
        <w:tc>
          <w:tcPr>
            <w:tcW w:w="112" w:type="pct"/>
            <w:tcBorders>
              <w:top w:val="nil"/>
              <w:left w:val="nil"/>
              <w:bottom w:val="nil"/>
              <w:right w:val="nil"/>
            </w:tcBorders>
            <w:shd w:val="clear" w:color="auto" w:fill="auto"/>
            <w:tcMar>
              <w:top w:w="0" w:type="dxa"/>
              <w:left w:w="0" w:type="dxa"/>
              <w:bottom w:w="0" w:type="dxa"/>
              <w:right w:w="0" w:type="dxa"/>
            </w:tcMar>
          </w:tcPr>
          <w:p w:rsidR="003B76CC" w:rsidRDefault="003B76CC">
            <w:pPr>
              <w:keepNext/>
              <w:keepLines/>
              <w:spacing w:line="240"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rsidR="003B76CC" w:rsidRDefault="00000000">
            <w:pPr>
              <w:keepNext/>
              <w:keepLines/>
              <w:spacing w:line="240" w:lineRule="auto"/>
              <w:rPr>
                <w:sz w:val="14"/>
                <w:szCs w:val="14"/>
              </w:rPr>
            </w:pPr>
            <w:r>
              <w:rPr>
                <w:sz w:val="14"/>
                <w:szCs w:val="14"/>
              </w:rPr>
              <w:t>12.</w:t>
            </w:r>
          </w:p>
        </w:tc>
      </w:tr>
      <w:tr w:rsidR="003B76CC">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3B76CC" w:rsidRDefault="00000000">
            <w:pPr>
              <w:keepNext/>
              <w:keepLines/>
              <w:spacing w:line="240" w:lineRule="auto"/>
              <w:rPr>
                <w:sz w:val="14"/>
                <w:szCs w:val="14"/>
              </w:rPr>
            </w:pPr>
            <w:r>
              <w:rPr>
                <w:noProof/>
                <w:sz w:val="14"/>
                <w:szCs w:val="14"/>
              </w:rPr>
              <w:drawing>
                <wp:inline distT="0" distB="0" distL="0" distR="0">
                  <wp:extent cx="2852420" cy="2014220"/>
                  <wp:effectExtent l="0" t="0" r="0" b="0"/>
                  <wp:docPr id="14" name="Picture 1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dpi="0">
                          <a:blip r:embed="rId19"/>
                          <a:srcRect/>
                          <a:stretch>
                            <a:fillRect/>
                          </a:stretch>
                        </pic:blipFill>
                        <pic:spPr>
                          <a:xfrm>
                            <a:off x="0" y="0"/>
                            <a:ext cx="2852420" cy="201422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rsidR="003B76CC" w:rsidRDefault="003B76CC">
            <w:pPr>
              <w:keepNext/>
              <w:keepLines/>
              <w:spacing w:line="240" w:lineRule="auto"/>
              <w:rPr>
                <w:sz w:val="14"/>
                <w:szCs w:val="14"/>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3B76CC" w:rsidRDefault="00000000">
            <w:pPr>
              <w:keepNext/>
              <w:keepLines/>
              <w:spacing w:line="240" w:lineRule="auto"/>
              <w:rPr>
                <w:sz w:val="14"/>
                <w:szCs w:val="14"/>
              </w:rPr>
            </w:pPr>
            <w:r>
              <w:rPr>
                <w:noProof/>
                <w:sz w:val="14"/>
                <w:szCs w:val="14"/>
              </w:rPr>
              <w:drawing>
                <wp:inline distT="0" distB="0" distL="0" distR="0">
                  <wp:extent cx="2852420" cy="2014220"/>
                  <wp:effectExtent l="0" t="0" r="0" b="0"/>
                  <wp:docPr id="15" name="Picture 1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dpi="0">
                          <a:blip r:embed="rId20"/>
                          <a:srcRect/>
                          <a:stretch>
                            <a:fillRect/>
                          </a:stretch>
                        </pic:blipFill>
                        <pic:spPr>
                          <a:xfrm>
                            <a:off x="0" y="0"/>
                            <a:ext cx="2852420" cy="2014220"/>
                          </a:xfrm>
                          <a:prstGeom prst="rect">
                            <a:avLst/>
                          </a:prstGeom>
                        </pic:spPr>
                      </pic:pic>
                    </a:graphicData>
                  </a:graphic>
                </wp:inline>
              </w:drawing>
            </w:r>
          </w:p>
        </w:tc>
      </w:tr>
    </w:tbl>
    <w:p w:rsidR="003B76CC" w:rsidRDefault="00000000">
      <w:pPr>
        <w:spacing w:line="240" w:lineRule="auto"/>
      </w:pPr>
      <w:r>
        <w:br w:type="page"/>
      </w:r>
    </w:p>
    <w:p w:rsidR="003B76CC" w:rsidRDefault="00000000">
      <w:pPr>
        <w:spacing w:line="240" w:lineRule="auto"/>
        <w:rPr>
          <w:sz w:val="17"/>
          <w:szCs w:val="17"/>
        </w:rPr>
      </w:pPr>
      <w:r>
        <w:rPr>
          <w:b/>
          <w:sz w:val="17"/>
          <w:szCs w:val="17"/>
        </w:rPr>
        <w:lastRenderedPageBreak/>
        <w:t>13</w:t>
      </w:r>
      <w:r>
        <w:rPr>
          <w:sz w:val="17"/>
          <w:szCs w:val="17"/>
        </w:rPr>
        <w:t xml:space="preserve"> Schnitt Wohnbebauung Auwiesen in Wangen im Allgäu. Zeichnung: </w:t>
      </w:r>
      <w:proofErr w:type="spellStart"/>
      <w:r>
        <w:rPr>
          <w:sz w:val="17"/>
          <w:szCs w:val="17"/>
        </w:rPr>
        <w:t>a+r</w:t>
      </w:r>
      <w:proofErr w:type="spellEnd"/>
      <w:r>
        <w:rPr>
          <w:sz w:val="17"/>
          <w:szCs w:val="17"/>
        </w:rPr>
        <w:t xml:space="preserve"> Architekten</w:t>
      </w:r>
      <w:r>
        <w:rPr>
          <w:sz w:val="17"/>
          <w:szCs w:val="17"/>
        </w:rPr>
        <w:br/>
      </w:r>
    </w:p>
    <w:p w:rsidR="003B76CC" w:rsidRDefault="00000000">
      <w:pPr>
        <w:spacing w:line="240" w:lineRule="auto"/>
        <w:rPr>
          <w:sz w:val="17"/>
          <w:szCs w:val="17"/>
        </w:rPr>
      </w:pPr>
      <w:r>
        <w:rPr>
          <w:b/>
          <w:sz w:val="17"/>
          <w:szCs w:val="17"/>
        </w:rPr>
        <w:t>14</w:t>
      </w:r>
      <w:r>
        <w:rPr>
          <w:sz w:val="17"/>
          <w:szCs w:val="17"/>
        </w:rPr>
        <w:t xml:space="preserve"> Lageplan Wohnbebauung Auwiesen in Wangen im Allgäu. Zeichnung: </w:t>
      </w:r>
      <w:proofErr w:type="spellStart"/>
      <w:r>
        <w:rPr>
          <w:sz w:val="17"/>
          <w:szCs w:val="17"/>
        </w:rPr>
        <w:t>a+r</w:t>
      </w:r>
      <w:proofErr w:type="spellEnd"/>
      <w:r>
        <w:rPr>
          <w:sz w:val="17"/>
          <w:szCs w:val="17"/>
        </w:rPr>
        <w:t xml:space="preserve"> Architekten</w:t>
      </w:r>
      <w:r>
        <w:rPr>
          <w:sz w:val="17"/>
          <w:szCs w:val="17"/>
        </w:rPr>
        <w:br/>
      </w:r>
      <w:r>
        <w:rPr>
          <w:sz w:val="17"/>
          <w:szCs w:val="17"/>
        </w:rPr>
        <w:br/>
      </w:r>
      <w:r>
        <w:rPr>
          <w:sz w:val="17"/>
          <w:szCs w:val="17"/>
        </w:rPr>
        <w:br/>
      </w:r>
    </w:p>
    <w:tbl>
      <w:tblPr>
        <w:tblStyle w:val="TabelleEinfach1"/>
        <w:tblW w:w="5000" w:type="pct"/>
        <w:tblLayout w:type="fixed"/>
        <w:tblCellMar>
          <w:left w:w="0" w:type="dxa"/>
          <w:right w:w="0" w:type="dxa"/>
        </w:tblCellMar>
        <w:tblLook w:val="04A0" w:firstRow="1" w:lastRow="0" w:firstColumn="1" w:lastColumn="0" w:noHBand="0" w:noVBand="1"/>
      </w:tblPr>
      <w:tblGrid>
        <w:gridCol w:w="4767"/>
        <w:gridCol w:w="218"/>
        <w:gridCol w:w="4767"/>
      </w:tblGrid>
      <w:tr w:rsidR="003B76CC">
        <w:tc>
          <w:tcPr>
            <w:tcW w:w="2444" w:type="pct"/>
            <w:tcBorders>
              <w:top w:val="nil"/>
              <w:left w:val="nil"/>
              <w:bottom w:val="nil"/>
              <w:right w:val="nil"/>
            </w:tcBorders>
            <w:shd w:val="clear" w:color="auto" w:fill="auto"/>
            <w:tcMar>
              <w:top w:w="0" w:type="dxa"/>
              <w:left w:w="0" w:type="dxa"/>
              <w:bottom w:w="0" w:type="dxa"/>
              <w:right w:w="0" w:type="dxa"/>
            </w:tcMar>
          </w:tcPr>
          <w:p w:rsidR="003B76CC" w:rsidRDefault="00000000">
            <w:pPr>
              <w:keepNext/>
              <w:keepLines/>
              <w:spacing w:line="240" w:lineRule="auto"/>
              <w:rPr>
                <w:sz w:val="14"/>
                <w:szCs w:val="14"/>
              </w:rPr>
            </w:pPr>
            <w:r>
              <w:rPr>
                <w:sz w:val="14"/>
                <w:szCs w:val="14"/>
              </w:rPr>
              <w:t>13.</w:t>
            </w:r>
          </w:p>
        </w:tc>
        <w:tc>
          <w:tcPr>
            <w:tcW w:w="112" w:type="pct"/>
            <w:tcBorders>
              <w:top w:val="nil"/>
              <w:left w:val="nil"/>
              <w:bottom w:val="nil"/>
              <w:right w:val="nil"/>
            </w:tcBorders>
            <w:shd w:val="clear" w:color="auto" w:fill="auto"/>
            <w:tcMar>
              <w:top w:w="0" w:type="dxa"/>
              <w:left w:w="0" w:type="dxa"/>
              <w:bottom w:w="0" w:type="dxa"/>
              <w:right w:w="0" w:type="dxa"/>
            </w:tcMar>
          </w:tcPr>
          <w:p w:rsidR="003B76CC" w:rsidRDefault="003B76CC">
            <w:pPr>
              <w:keepNext/>
              <w:keepLines/>
              <w:spacing w:line="240"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rsidR="003B76CC" w:rsidRDefault="00000000">
            <w:pPr>
              <w:keepNext/>
              <w:keepLines/>
              <w:spacing w:line="240" w:lineRule="auto"/>
              <w:rPr>
                <w:sz w:val="14"/>
                <w:szCs w:val="14"/>
              </w:rPr>
            </w:pPr>
            <w:r>
              <w:rPr>
                <w:sz w:val="14"/>
                <w:szCs w:val="14"/>
              </w:rPr>
              <w:t>14.</w:t>
            </w:r>
          </w:p>
        </w:tc>
      </w:tr>
      <w:tr w:rsidR="003B76CC">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3B76CC" w:rsidRDefault="00000000">
            <w:pPr>
              <w:keepNext/>
              <w:keepLines/>
              <w:spacing w:line="240" w:lineRule="auto"/>
              <w:rPr>
                <w:sz w:val="14"/>
                <w:szCs w:val="14"/>
              </w:rPr>
            </w:pPr>
            <w:r>
              <w:rPr>
                <w:noProof/>
                <w:sz w:val="14"/>
                <w:szCs w:val="14"/>
              </w:rPr>
              <w:drawing>
                <wp:inline distT="0" distB="0" distL="0" distR="0">
                  <wp:extent cx="3023235" cy="1496060"/>
                  <wp:effectExtent l="0" t="0" r="0" b="0"/>
                  <wp:docPr id="16" name="Picture 16"/>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dpi="0">
                          <a:blip r:embed="rId21"/>
                          <a:srcRect/>
                          <a:stretch>
                            <a:fillRect/>
                          </a:stretch>
                        </pic:blipFill>
                        <pic:spPr>
                          <a:xfrm>
                            <a:off x="0" y="0"/>
                            <a:ext cx="3023235" cy="149606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rsidR="003B76CC" w:rsidRDefault="003B76CC">
            <w:pPr>
              <w:keepNext/>
              <w:keepLines/>
              <w:spacing w:line="240" w:lineRule="auto"/>
              <w:rPr>
                <w:sz w:val="14"/>
                <w:szCs w:val="14"/>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3B76CC" w:rsidRDefault="00000000">
            <w:pPr>
              <w:keepNext/>
              <w:keepLines/>
              <w:spacing w:line="240" w:lineRule="auto"/>
              <w:rPr>
                <w:sz w:val="14"/>
                <w:szCs w:val="14"/>
              </w:rPr>
            </w:pPr>
            <w:r>
              <w:rPr>
                <w:noProof/>
                <w:sz w:val="14"/>
                <w:szCs w:val="14"/>
              </w:rPr>
              <w:drawing>
                <wp:inline distT="0" distB="0" distL="0" distR="0">
                  <wp:extent cx="2852420" cy="2014220"/>
                  <wp:effectExtent l="0" t="0" r="0" b="0"/>
                  <wp:docPr id="17" name="Picture 17"/>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dpi="0">
                          <a:blip r:embed="rId22"/>
                          <a:srcRect/>
                          <a:stretch>
                            <a:fillRect/>
                          </a:stretch>
                        </pic:blipFill>
                        <pic:spPr>
                          <a:xfrm>
                            <a:off x="0" y="0"/>
                            <a:ext cx="2852420" cy="2014220"/>
                          </a:xfrm>
                          <a:prstGeom prst="rect">
                            <a:avLst/>
                          </a:prstGeom>
                        </pic:spPr>
                      </pic:pic>
                    </a:graphicData>
                  </a:graphic>
                </wp:inline>
              </w:drawing>
            </w:r>
          </w:p>
        </w:tc>
      </w:tr>
      <w:tr w:rsidR="003B76CC">
        <w:tc>
          <w:tcPr>
            <w:tcW w:w="2444" w:type="pct"/>
            <w:tcBorders>
              <w:top w:val="nil"/>
              <w:left w:val="nil"/>
              <w:bottom w:val="nil"/>
              <w:right w:val="nil"/>
            </w:tcBorders>
            <w:shd w:val="clear" w:color="auto" w:fill="auto"/>
            <w:tcMar>
              <w:top w:w="0" w:type="dxa"/>
              <w:left w:w="0" w:type="dxa"/>
              <w:bottom w:w="0" w:type="dxa"/>
              <w:right w:w="0" w:type="dxa"/>
            </w:tcMar>
          </w:tcPr>
          <w:p w:rsidR="003B76CC" w:rsidRDefault="003B76CC">
            <w:pPr>
              <w:keepNext/>
              <w:keepLines/>
              <w:spacing w:line="240" w:lineRule="auto"/>
              <w:rPr>
                <w:sz w:val="17"/>
                <w:szCs w:val="17"/>
              </w:rPr>
            </w:pPr>
          </w:p>
        </w:tc>
        <w:tc>
          <w:tcPr>
            <w:tcW w:w="112" w:type="pct"/>
            <w:tcBorders>
              <w:top w:val="nil"/>
              <w:left w:val="nil"/>
              <w:bottom w:val="nil"/>
              <w:right w:val="nil"/>
            </w:tcBorders>
            <w:shd w:val="clear" w:color="auto" w:fill="auto"/>
            <w:tcMar>
              <w:top w:w="0" w:type="dxa"/>
              <w:left w:w="0" w:type="dxa"/>
              <w:bottom w:w="0" w:type="dxa"/>
              <w:right w:w="0" w:type="dxa"/>
            </w:tcMar>
          </w:tcPr>
          <w:p w:rsidR="003B76CC" w:rsidRDefault="003B76CC">
            <w:pPr>
              <w:keepNext/>
              <w:keepLines/>
              <w:spacing w:line="240" w:lineRule="auto"/>
              <w:rPr>
                <w:sz w:val="17"/>
                <w:szCs w:val="17"/>
              </w:rPr>
            </w:pPr>
          </w:p>
        </w:tc>
        <w:tc>
          <w:tcPr>
            <w:tcW w:w="2444" w:type="pct"/>
            <w:tcBorders>
              <w:top w:val="nil"/>
              <w:left w:val="nil"/>
              <w:bottom w:val="nil"/>
              <w:right w:val="nil"/>
            </w:tcBorders>
            <w:shd w:val="clear" w:color="auto" w:fill="auto"/>
            <w:tcMar>
              <w:top w:w="0" w:type="dxa"/>
              <w:left w:w="0" w:type="dxa"/>
              <w:bottom w:w="0" w:type="dxa"/>
              <w:right w:w="0" w:type="dxa"/>
            </w:tcMar>
          </w:tcPr>
          <w:p w:rsidR="003B76CC" w:rsidRDefault="003B76CC">
            <w:pPr>
              <w:keepNext/>
              <w:keepLines/>
              <w:spacing w:line="240" w:lineRule="auto"/>
              <w:rPr>
                <w:sz w:val="17"/>
                <w:szCs w:val="17"/>
              </w:rPr>
            </w:pPr>
          </w:p>
        </w:tc>
      </w:tr>
      <w:tr w:rsidR="003B76CC">
        <w:tc>
          <w:tcPr>
            <w:tcW w:w="2444" w:type="pct"/>
            <w:tcBorders>
              <w:top w:val="nil"/>
              <w:left w:val="nil"/>
              <w:bottom w:val="nil"/>
              <w:right w:val="nil"/>
            </w:tcBorders>
            <w:shd w:val="clear" w:color="auto" w:fill="auto"/>
            <w:tcMar>
              <w:top w:w="0" w:type="dxa"/>
              <w:left w:w="0" w:type="dxa"/>
              <w:bottom w:w="0" w:type="dxa"/>
              <w:right w:w="0" w:type="dxa"/>
            </w:tcMar>
          </w:tcPr>
          <w:p w:rsidR="003B76CC" w:rsidRDefault="003B76CC">
            <w:pPr>
              <w:keepNext/>
              <w:keepLines/>
              <w:spacing w:line="240" w:lineRule="auto"/>
              <w:rPr>
                <w:sz w:val="17"/>
                <w:szCs w:val="17"/>
              </w:rPr>
            </w:pPr>
          </w:p>
        </w:tc>
        <w:tc>
          <w:tcPr>
            <w:tcW w:w="112" w:type="pct"/>
            <w:tcBorders>
              <w:top w:val="nil"/>
              <w:left w:val="nil"/>
              <w:bottom w:val="nil"/>
              <w:right w:val="nil"/>
            </w:tcBorders>
            <w:shd w:val="clear" w:color="auto" w:fill="auto"/>
            <w:tcMar>
              <w:top w:w="0" w:type="dxa"/>
              <w:left w:w="0" w:type="dxa"/>
              <w:bottom w:w="0" w:type="dxa"/>
              <w:right w:w="0" w:type="dxa"/>
            </w:tcMar>
          </w:tcPr>
          <w:p w:rsidR="003B76CC" w:rsidRDefault="003B76CC">
            <w:pPr>
              <w:keepNext/>
              <w:keepLines/>
              <w:spacing w:line="240" w:lineRule="auto"/>
              <w:rPr>
                <w:sz w:val="17"/>
                <w:szCs w:val="17"/>
              </w:rPr>
            </w:pPr>
          </w:p>
        </w:tc>
        <w:tc>
          <w:tcPr>
            <w:tcW w:w="2444" w:type="pct"/>
            <w:tcBorders>
              <w:top w:val="nil"/>
              <w:left w:val="nil"/>
              <w:bottom w:val="nil"/>
              <w:right w:val="nil"/>
            </w:tcBorders>
            <w:shd w:val="clear" w:color="auto" w:fill="auto"/>
            <w:tcMar>
              <w:top w:w="0" w:type="dxa"/>
              <w:left w:w="0" w:type="dxa"/>
              <w:bottom w:w="0" w:type="dxa"/>
              <w:right w:w="0" w:type="dxa"/>
            </w:tcMar>
          </w:tcPr>
          <w:p w:rsidR="003B76CC" w:rsidRDefault="003B76CC">
            <w:pPr>
              <w:keepNext/>
              <w:keepLines/>
              <w:spacing w:line="240" w:lineRule="auto"/>
              <w:rPr>
                <w:sz w:val="17"/>
                <w:szCs w:val="17"/>
              </w:rPr>
            </w:pPr>
          </w:p>
        </w:tc>
      </w:tr>
      <w:tr w:rsidR="003B76CC">
        <w:tc>
          <w:tcPr>
            <w:tcW w:w="2444" w:type="pct"/>
            <w:tcBorders>
              <w:top w:val="nil"/>
              <w:left w:val="nil"/>
              <w:bottom w:val="nil"/>
              <w:right w:val="nil"/>
            </w:tcBorders>
            <w:shd w:val="clear" w:color="auto" w:fill="auto"/>
            <w:tcMar>
              <w:top w:w="0" w:type="dxa"/>
              <w:left w:w="0" w:type="dxa"/>
              <w:bottom w:w="0" w:type="dxa"/>
              <w:right w:w="0" w:type="dxa"/>
            </w:tcMar>
          </w:tcPr>
          <w:p w:rsidR="003B76CC" w:rsidRDefault="003B76CC">
            <w:pPr>
              <w:keepNext/>
              <w:keepLines/>
              <w:spacing w:line="240" w:lineRule="auto"/>
              <w:rPr>
                <w:sz w:val="17"/>
                <w:szCs w:val="17"/>
              </w:rPr>
            </w:pPr>
          </w:p>
        </w:tc>
        <w:tc>
          <w:tcPr>
            <w:tcW w:w="112" w:type="pct"/>
            <w:tcBorders>
              <w:top w:val="nil"/>
              <w:left w:val="nil"/>
              <w:bottom w:val="nil"/>
              <w:right w:val="nil"/>
            </w:tcBorders>
            <w:shd w:val="clear" w:color="auto" w:fill="auto"/>
            <w:tcMar>
              <w:top w:w="0" w:type="dxa"/>
              <w:left w:w="0" w:type="dxa"/>
              <w:bottom w:w="0" w:type="dxa"/>
              <w:right w:w="0" w:type="dxa"/>
            </w:tcMar>
          </w:tcPr>
          <w:p w:rsidR="003B76CC" w:rsidRDefault="003B76CC">
            <w:pPr>
              <w:keepNext/>
              <w:keepLines/>
              <w:spacing w:line="240" w:lineRule="auto"/>
              <w:rPr>
                <w:sz w:val="17"/>
                <w:szCs w:val="17"/>
              </w:rPr>
            </w:pPr>
          </w:p>
        </w:tc>
        <w:tc>
          <w:tcPr>
            <w:tcW w:w="2444" w:type="pct"/>
            <w:tcBorders>
              <w:top w:val="nil"/>
              <w:left w:val="nil"/>
              <w:bottom w:val="nil"/>
              <w:right w:val="nil"/>
            </w:tcBorders>
            <w:shd w:val="clear" w:color="auto" w:fill="auto"/>
            <w:tcMar>
              <w:top w:w="0" w:type="dxa"/>
              <w:left w:w="0" w:type="dxa"/>
              <w:bottom w:w="0" w:type="dxa"/>
              <w:right w:w="0" w:type="dxa"/>
            </w:tcMar>
          </w:tcPr>
          <w:p w:rsidR="003B76CC" w:rsidRDefault="003B76CC">
            <w:pPr>
              <w:keepNext/>
              <w:keepLines/>
              <w:spacing w:line="240" w:lineRule="auto"/>
              <w:rPr>
                <w:sz w:val="17"/>
                <w:szCs w:val="17"/>
              </w:rPr>
            </w:pPr>
          </w:p>
        </w:tc>
      </w:tr>
    </w:tbl>
    <w:p w:rsidR="003B76CC" w:rsidRDefault="00000000">
      <w:pPr>
        <w:spacing w:line="240" w:lineRule="auto"/>
      </w:pPr>
      <w:r>
        <w:br w:type="page"/>
      </w:r>
    </w:p>
    <w:tbl>
      <w:tblPr>
        <w:tblStyle w:val="TabelleEinfach1"/>
        <w:tblW w:w="5000" w:type="pct"/>
        <w:tblLayout w:type="fixed"/>
        <w:tblCellMar>
          <w:left w:w="0" w:type="dxa"/>
          <w:right w:w="227" w:type="dxa"/>
        </w:tblCellMar>
        <w:tblLook w:val="04A0" w:firstRow="1" w:lastRow="0" w:firstColumn="1" w:lastColumn="0" w:noHBand="0" w:noVBand="1"/>
      </w:tblPr>
      <w:tblGrid>
        <w:gridCol w:w="3792"/>
        <w:gridCol w:w="3792"/>
        <w:gridCol w:w="2395"/>
      </w:tblGrid>
      <w:tr w:rsidR="003B76CC">
        <w:tc>
          <w:tcPr>
            <w:tcW w:w="3800" w:type="pct"/>
            <w:gridSpan w:val="2"/>
            <w:tcBorders>
              <w:top w:val="nil"/>
              <w:left w:val="nil"/>
              <w:bottom w:val="nil"/>
              <w:right w:val="nil"/>
            </w:tcBorders>
            <w:shd w:val="clear" w:color="auto" w:fill="auto"/>
            <w:tcMar>
              <w:top w:w="0" w:type="dxa"/>
              <w:left w:w="0" w:type="dxa"/>
              <w:bottom w:w="0" w:type="dxa"/>
              <w:right w:w="227" w:type="dxa"/>
            </w:tcMar>
          </w:tcPr>
          <w:p w:rsidR="003B76CC" w:rsidRDefault="00000000">
            <w:pPr>
              <w:spacing w:before="240" w:after="240"/>
              <w:rPr>
                <w:sz w:val="20"/>
                <w:szCs w:val="20"/>
              </w:rPr>
            </w:pPr>
            <w:r>
              <w:rPr>
                <w:b/>
                <w:sz w:val="20"/>
                <w:szCs w:val="20"/>
              </w:rPr>
              <w:lastRenderedPageBreak/>
              <w:t xml:space="preserve">Über </w:t>
            </w:r>
            <w:proofErr w:type="spellStart"/>
            <w:r>
              <w:rPr>
                <w:b/>
                <w:sz w:val="20"/>
                <w:szCs w:val="20"/>
              </w:rPr>
              <w:t>a+r</w:t>
            </w:r>
            <w:proofErr w:type="spellEnd"/>
            <w:r>
              <w:rPr>
                <w:b/>
                <w:sz w:val="20"/>
                <w:szCs w:val="20"/>
              </w:rPr>
              <w:t xml:space="preserve"> Architekten</w:t>
            </w:r>
          </w:p>
          <w:p w:rsidR="003B76CC" w:rsidRDefault="00000000">
            <w:pPr>
              <w:spacing w:before="240" w:after="240"/>
              <w:rPr>
                <w:sz w:val="20"/>
                <w:szCs w:val="20"/>
              </w:rPr>
            </w:pPr>
            <w:proofErr w:type="spellStart"/>
            <w:r>
              <w:rPr>
                <w:sz w:val="20"/>
                <w:szCs w:val="20"/>
              </w:rPr>
              <w:t>a+r</w:t>
            </w:r>
            <w:proofErr w:type="spellEnd"/>
            <w:r>
              <w:rPr>
                <w:sz w:val="20"/>
                <w:szCs w:val="20"/>
              </w:rPr>
              <w:t xml:space="preserve"> Architekten stehen für eine solide, umweltverträgliche und zukunftsorientierte Architektur mit einer überzeugenden Expertise im Bereich des nachhaltigen Bauens – auch im Bestand. Das 1985 von Prof. Gerd Ackermann und Prof. Hellmut Raff gegründete Büro mit Standorten in Stuttgart und Tübingen zählt rund 100 Mitarbeiter und steht heute unter der Leitung von Oliver Braun, Florian Gruner, Alexander Lange und Walter Fritz. Vorwiegend bauen </w:t>
            </w:r>
            <w:hyperlink r:id="rId23" w:tgtFrame="_blank">
              <w:proofErr w:type="spellStart"/>
              <w:r>
                <w:rPr>
                  <w:rStyle w:val="Hyperlink"/>
                  <w:color w:val="000000"/>
                  <w:sz w:val="20"/>
                  <w:szCs w:val="20"/>
                </w:rPr>
                <w:t>a+r</w:t>
              </w:r>
              <w:proofErr w:type="spellEnd"/>
              <w:r>
                <w:rPr>
                  <w:rStyle w:val="Hyperlink"/>
                  <w:color w:val="000000"/>
                  <w:sz w:val="20"/>
                  <w:szCs w:val="20"/>
                </w:rPr>
                <w:t xml:space="preserve"> Architekten </w:t>
              </w:r>
            </w:hyperlink>
            <w:r>
              <w:rPr>
                <w:sz w:val="20"/>
                <w:szCs w:val="20"/>
              </w:rPr>
              <w:t>für öffentliche Auftraggeber, Industrie und Gewerbe, für kommunale Wohnbauunternehmen sowie für soziale Einrichtungen. Das Büro konzentriert sich auf eine angemessene, ökologische, funktionale und daraus resultierend innovative Bauweise und wurde dafür mit renommierten Preisen ausgezeichnet.</w:t>
            </w:r>
          </w:p>
          <w:p w:rsidR="003B76CC" w:rsidRDefault="00000000">
            <w:pPr>
              <w:spacing w:before="240" w:after="240"/>
              <w:rPr>
                <w:sz w:val="20"/>
                <w:szCs w:val="20"/>
              </w:rPr>
            </w:pPr>
            <w:hyperlink r:id="rId24">
              <w:r>
                <w:rPr>
                  <w:rStyle w:val="Hyperlink"/>
                  <w:color w:val="000000"/>
                  <w:sz w:val="20"/>
                  <w:szCs w:val="20"/>
                </w:rPr>
                <w:t>www.aplusr.de</w:t>
              </w:r>
            </w:hyperlink>
          </w:p>
          <w:p w:rsidR="003B76CC" w:rsidRDefault="00000000">
            <w:pPr>
              <w:spacing w:before="240" w:after="240"/>
              <w:rPr>
                <w:sz w:val="20"/>
                <w:szCs w:val="20"/>
              </w:rPr>
            </w:pPr>
            <w:hyperlink r:id="rId25">
              <w:r>
                <w:rPr>
                  <w:rStyle w:val="Hyperlink"/>
                  <w:color w:val="000000"/>
                  <w:sz w:val="20"/>
                  <w:szCs w:val="20"/>
                </w:rPr>
                <w:t>Instagram</w:t>
              </w:r>
            </w:hyperlink>
          </w:p>
          <w:p w:rsidR="003B76CC" w:rsidRDefault="00000000">
            <w:pPr>
              <w:rPr>
                <w:sz w:val="20"/>
                <w:szCs w:val="20"/>
              </w:rPr>
            </w:pPr>
            <w:r>
              <w:rPr>
                <w:sz w:val="20"/>
                <w:szCs w:val="20"/>
              </w:rPr>
              <w:br/>
            </w:r>
          </w:p>
        </w:tc>
        <w:tc>
          <w:tcPr>
            <w:tcW w:w="1200" w:type="pct"/>
            <w:tcBorders>
              <w:top w:val="nil"/>
              <w:left w:val="nil"/>
              <w:bottom w:val="nil"/>
              <w:right w:val="nil"/>
            </w:tcBorders>
            <w:shd w:val="clear" w:color="auto" w:fill="auto"/>
            <w:tcMar>
              <w:top w:w="0" w:type="dxa"/>
              <w:left w:w="0" w:type="dxa"/>
              <w:bottom w:w="0" w:type="dxa"/>
              <w:right w:w="227" w:type="dxa"/>
            </w:tcMar>
          </w:tcPr>
          <w:p w:rsidR="003B76CC" w:rsidRDefault="00000000">
            <w:pPr>
              <w:rPr>
                <w:sz w:val="20"/>
                <w:szCs w:val="20"/>
              </w:rPr>
            </w:pPr>
            <w:r>
              <w:rPr>
                <w:sz w:val="20"/>
                <w:szCs w:val="20"/>
              </w:rPr>
              <w:br/>
            </w:r>
          </w:p>
        </w:tc>
      </w:tr>
      <w:tr w:rsidR="003B76CC">
        <w:trPr>
          <w:gridAfter w:val="1"/>
          <w:wAfter w:w="1728" w:type="dxa"/>
        </w:trPr>
        <w:tc>
          <w:tcPr>
            <w:tcW w:w="2736" w:type="dxa"/>
            <w:tcBorders>
              <w:top w:val="nil"/>
              <w:left w:val="nil"/>
              <w:bottom w:val="nil"/>
              <w:right w:val="nil"/>
            </w:tcBorders>
            <w:shd w:val="clear" w:color="auto" w:fill="auto"/>
            <w:tcMar>
              <w:top w:w="0" w:type="dxa"/>
              <w:left w:w="0" w:type="dxa"/>
              <w:bottom w:w="0" w:type="dxa"/>
              <w:right w:w="227" w:type="dxa"/>
            </w:tcMar>
          </w:tcPr>
          <w:p w:rsidR="003B76CC" w:rsidRDefault="003B76CC">
            <w:pPr>
              <w:rPr>
                <w:sz w:val="20"/>
                <w:szCs w:val="20"/>
              </w:rPr>
            </w:pPr>
          </w:p>
        </w:tc>
        <w:tc>
          <w:tcPr>
            <w:tcW w:w="2736" w:type="dxa"/>
            <w:tcBorders>
              <w:top w:val="nil"/>
              <w:left w:val="nil"/>
              <w:bottom w:val="nil"/>
              <w:right w:val="nil"/>
            </w:tcBorders>
            <w:shd w:val="clear" w:color="auto" w:fill="auto"/>
            <w:tcMar>
              <w:top w:w="0" w:type="dxa"/>
              <w:left w:w="0" w:type="dxa"/>
              <w:bottom w:w="0" w:type="dxa"/>
              <w:right w:w="227" w:type="dxa"/>
            </w:tcMar>
          </w:tcPr>
          <w:p w:rsidR="003B76CC" w:rsidRDefault="003B76CC">
            <w:pPr>
              <w:rPr>
                <w:sz w:val="20"/>
                <w:szCs w:val="20"/>
              </w:rPr>
            </w:pPr>
          </w:p>
        </w:tc>
      </w:tr>
    </w:tbl>
    <w:p w:rsidR="003B76CC" w:rsidRDefault="00000000">
      <w:pPr>
        <w:spacing w:line="240" w:lineRule="auto"/>
      </w:pPr>
      <w:r>
        <w:br/>
      </w:r>
    </w:p>
    <w:tbl>
      <w:tblPr>
        <w:tblStyle w:val="TabelleEinfach1"/>
        <w:tblW w:w="5000" w:type="pct"/>
        <w:tblLayout w:type="fixed"/>
        <w:tblCellMar>
          <w:left w:w="0" w:type="dxa"/>
          <w:right w:w="227" w:type="dxa"/>
        </w:tblCellMar>
        <w:tblLook w:val="04A0" w:firstRow="1" w:lastRow="0" w:firstColumn="1" w:lastColumn="0" w:noHBand="0" w:noVBand="1"/>
      </w:tblPr>
      <w:tblGrid>
        <w:gridCol w:w="3792"/>
        <w:gridCol w:w="3792"/>
        <w:gridCol w:w="2395"/>
      </w:tblGrid>
      <w:tr w:rsidR="003B76CC">
        <w:tc>
          <w:tcPr>
            <w:tcW w:w="3800" w:type="pct"/>
            <w:gridSpan w:val="2"/>
            <w:tcBorders>
              <w:top w:val="nil"/>
              <w:left w:val="nil"/>
              <w:bottom w:val="nil"/>
              <w:right w:val="nil"/>
            </w:tcBorders>
            <w:shd w:val="clear" w:color="auto" w:fill="auto"/>
            <w:tcMar>
              <w:top w:w="0" w:type="dxa"/>
              <w:left w:w="0" w:type="dxa"/>
              <w:bottom w:w="0" w:type="dxa"/>
              <w:right w:w="227" w:type="dxa"/>
            </w:tcMar>
          </w:tcPr>
          <w:p w:rsidR="003B76CC" w:rsidRDefault="00000000">
            <w:pPr>
              <w:rPr>
                <w:sz w:val="20"/>
                <w:szCs w:val="20"/>
              </w:rPr>
            </w:pPr>
            <w:r>
              <w:rPr>
                <w:b/>
                <w:sz w:val="20"/>
                <w:szCs w:val="20"/>
              </w:rPr>
              <w:t>QR-Code der Medieninformation</w:t>
            </w:r>
          </w:p>
        </w:tc>
        <w:tc>
          <w:tcPr>
            <w:tcW w:w="1200" w:type="pct"/>
            <w:tcBorders>
              <w:top w:val="nil"/>
              <w:left w:val="nil"/>
              <w:bottom w:val="nil"/>
              <w:right w:val="nil"/>
            </w:tcBorders>
            <w:shd w:val="clear" w:color="auto" w:fill="auto"/>
            <w:tcMar>
              <w:top w:w="0" w:type="dxa"/>
              <w:left w:w="0" w:type="dxa"/>
              <w:bottom w:w="0" w:type="dxa"/>
              <w:right w:w="227" w:type="dxa"/>
            </w:tcMar>
          </w:tcPr>
          <w:p w:rsidR="003B76CC" w:rsidRDefault="00000000">
            <w:pPr>
              <w:rPr>
                <w:sz w:val="20"/>
                <w:szCs w:val="20"/>
              </w:rPr>
            </w:pPr>
            <w:r>
              <w:rPr>
                <w:sz w:val="20"/>
                <w:szCs w:val="20"/>
              </w:rPr>
              <w:br/>
            </w:r>
          </w:p>
        </w:tc>
      </w:tr>
      <w:tr w:rsidR="003B76CC">
        <w:trPr>
          <w:gridAfter w:val="1"/>
          <w:wAfter w:w="1728" w:type="dxa"/>
        </w:trPr>
        <w:tc>
          <w:tcPr>
            <w:tcW w:w="2736" w:type="dxa"/>
            <w:tcBorders>
              <w:top w:val="nil"/>
              <w:left w:val="nil"/>
              <w:bottom w:val="nil"/>
              <w:right w:val="nil"/>
            </w:tcBorders>
            <w:shd w:val="clear" w:color="auto" w:fill="auto"/>
            <w:tcMar>
              <w:top w:w="0" w:type="dxa"/>
              <w:left w:w="0" w:type="dxa"/>
              <w:bottom w:w="0" w:type="dxa"/>
              <w:right w:w="227" w:type="dxa"/>
            </w:tcMar>
          </w:tcPr>
          <w:p w:rsidR="003B76CC" w:rsidRDefault="003B76CC">
            <w:pPr>
              <w:rPr>
                <w:sz w:val="20"/>
                <w:szCs w:val="20"/>
              </w:rPr>
            </w:pPr>
          </w:p>
        </w:tc>
        <w:tc>
          <w:tcPr>
            <w:tcW w:w="2736" w:type="dxa"/>
            <w:tcBorders>
              <w:top w:val="nil"/>
              <w:left w:val="nil"/>
              <w:bottom w:val="nil"/>
              <w:right w:val="nil"/>
            </w:tcBorders>
            <w:shd w:val="clear" w:color="auto" w:fill="auto"/>
            <w:tcMar>
              <w:top w:w="0" w:type="dxa"/>
              <w:left w:w="0" w:type="dxa"/>
              <w:bottom w:w="0" w:type="dxa"/>
              <w:right w:w="227" w:type="dxa"/>
            </w:tcMar>
          </w:tcPr>
          <w:p w:rsidR="003B76CC" w:rsidRDefault="003B76CC">
            <w:pPr>
              <w:rPr>
                <w:sz w:val="20"/>
                <w:szCs w:val="20"/>
              </w:rPr>
            </w:pPr>
          </w:p>
        </w:tc>
      </w:tr>
    </w:tbl>
    <w:p w:rsidR="003B76CC" w:rsidRDefault="00000000">
      <w:r>
        <w:rPr>
          <w:noProof/>
          <w:sz w:val="18"/>
          <w:szCs w:val="18"/>
        </w:rPr>
        <w:drawing>
          <wp:inline distT="0" distB="0" distL="0" distR="0">
            <wp:extent cx="1800860" cy="1800860"/>
            <wp:effectExtent l="0" t="0" r="0" b="0"/>
            <wp:docPr id="18" name="Picture 18"/>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dpi="0">
                    <a:blip r:embed="rId26"/>
                    <a:srcRect/>
                    <a:stretch>
                      <a:fillRect/>
                    </a:stretch>
                  </pic:blipFill>
                  <pic:spPr>
                    <a:xfrm>
                      <a:off x="0" y="0"/>
                      <a:ext cx="1800860" cy="1800860"/>
                    </a:xfrm>
                    <a:prstGeom prst="rect">
                      <a:avLst/>
                    </a:prstGeom>
                  </pic:spPr>
                </pic:pic>
              </a:graphicData>
            </a:graphic>
          </wp:inline>
        </w:drawing>
      </w:r>
      <w:r>
        <w:rPr>
          <w:sz w:val="18"/>
          <w:szCs w:val="18"/>
        </w:rPr>
        <w:br/>
      </w:r>
    </w:p>
    <w:sectPr w:rsidR="003B76CC">
      <w:headerReference w:type="default" r:id="rId27"/>
      <w:footerReference w:type="default" r:id="rId28"/>
      <w:headerReference w:type="first" r:id="rId29"/>
      <w:footerReference w:type="first" r:id="rId30"/>
      <w:pgSz w:w="11906" w:h="16838"/>
      <w:pgMar w:top="1701" w:right="1020" w:bottom="1134" w:left="1134" w:header="964" w:footer="283"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810102" w:rsidRDefault="00810102">
      <w:pPr>
        <w:spacing w:line="240" w:lineRule="auto"/>
      </w:pPr>
      <w:r>
        <w:separator/>
      </w:r>
    </w:p>
  </w:endnote>
  <w:endnote w:type="continuationSeparator" w:id="0">
    <w:p w:rsidR="00810102" w:rsidRDefault="0081010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elleEinfach1"/>
      <w:tblW w:w="5000" w:type="pct"/>
      <w:tblLayout w:type="fixed"/>
      <w:tblLook w:val="04A0" w:firstRow="1" w:lastRow="0" w:firstColumn="1" w:lastColumn="0" w:noHBand="0" w:noVBand="1"/>
    </w:tblPr>
    <w:tblGrid>
      <w:gridCol w:w="9557"/>
      <w:gridCol w:w="195"/>
    </w:tblGrid>
    <w:tr w:rsidR="003B76CC">
      <w:tc>
        <w:tcPr>
          <w:tcW w:w="4900" w:type="pct"/>
          <w:tcBorders>
            <w:top w:val="nil"/>
            <w:left w:val="nil"/>
            <w:bottom w:val="nil"/>
            <w:right w:val="nil"/>
          </w:tcBorders>
          <w:shd w:val="clear" w:color="auto" w:fill="auto"/>
          <w:tcMar>
            <w:top w:w="0" w:type="dxa"/>
            <w:left w:w="0" w:type="dxa"/>
            <w:bottom w:w="0" w:type="dxa"/>
            <w:right w:w="0" w:type="dxa"/>
          </w:tcMar>
          <w:vAlign w:val="bottom"/>
        </w:tcPr>
        <w:p w:rsidR="003B76CC" w:rsidRDefault="003B76CC">
          <w:pPr>
            <w:rPr>
              <w:sz w:val="14"/>
              <w:szCs w:val="14"/>
            </w:rPr>
          </w:pPr>
        </w:p>
      </w:tc>
      <w:tc>
        <w:tcPr>
          <w:tcW w:w="100" w:type="pct"/>
          <w:tcBorders>
            <w:top w:val="nil"/>
            <w:left w:val="nil"/>
            <w:bottom w:val="nil"/>
            <w:right w:val="nil"/>
          </w:tcBorders>
          <w:shd w:val="clear" w:color="auto" w:fill="auto"/>
          <w:tcMar>
            <w:top w:w="0" w:type="dxa"/>
            <w:left w:w="0" w:type="dxa"/>
            <w:bottom w:w="0" w:type="dxa"/>
            <w:right w:w="0" w:type="dxa"/>
          </w:tcMar>
          <w:vAlign w:val="bottom"/>
        </w:tcPr>
        <w:p w:rsidR="003B76CC" w:rsidRDefault="00000000">
          <w:pPr>
            <w:rPr>
              <w:sz w:val="14"/>
              <w:szCs w:val="14"/>
            </w:rPr>
          </w:pPr>
          <w:r>
            <w:rPr>
              <w:sz w:val="14"/>
              <w:szCs w:val="14"/>
            </w:rPr>
            <w:fldChar w:fldCharType="begin"/>
          </w:r>
          <w:r>
            <w:rPr>
              <w:sz w:val="14"/>
              <w:szCs w:val="14"/>
            </w:rPr>
            <w:instrText>PAGE \* ARABIC</w:instrText>
          </w:r>
          <w:r>
            <w:rPr>
              <w:sz w:val="14"/>
              <w:szCs w:val="14"/>
            </w:rPr>
            <w:fldChar w:fldCharType="separate"/>
          </w:r>
          <w:r>
            <w:rPr>
              <w:sz w:val="14"/>
              <w:szCs w:val="14"/>
            </w:rPr>
            <w:t>#</w:t>
          </w:r>
          <w:r>
            <w:rPr>
              <w:sz w:val="14"/>
              <w:szCs w:val="14"/>
            </w:rPr>
            <w:fldChar w:fldCharType="end"/>
          </w:r>
        </w:p>
      </w:tc>
    </w:tr>
  </w:tbl>
  <w:p w:rsidR="003B76CC" w:rsidRDefault="003B76CC">
    <w:pPr>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elleEinfach1"/>
      <w:tblW w:w="5000" w:type="pct"/>
      <w:tblLayout w:type="fixed"/>
      <w:tblCellMar>
        <w:left w:w="0" w:type="dxa"/>
        <w:right w:w="0" w:type="dxa"/>
      </w:tblCellMar>
      <w:tblLook w:val="04A0" w:firstRow="1" w:lastRow="0" w:firstColumn="1" w:lastColumn="0" w:noHBand="0" w:noVBand="1"/>
    </w:tblPr>
    <w:tblGrid>
      <w:gridCol w:w="9557"/>
      <w:gridCol w:w="195"/>
    </w:tblGrid>
    <w:tr w:rsidR="003B76CC">
      <w:tc>
        <w:tcPr>
          <w:tcW w:w="4900" w:type="pct"/>
          <w:tcBorders>
            <w:top w:val="nil"/>
            <w:left w:val="nil"/>
            <w:bottom w:val="nil"/>
            <w:right w:val="nil"/>
          </w:tcBorders>
          <w:shd w:val="clear" w:color="auto" w:fill="auto"/>
          <w:tcMar>
            <w:top w:w="0" w:type="dxa"/>
            <w:left w:w="0" w:type="dxa"/>
            <w:bottom w:w="0" w:type="dxa"/>
            <w:right w:w="0" w:type="dxa"/>
          </w:tcMar>
          <w:vAlign w:val="bottom"/>
        </w:tcPr>
        <w:p w:rsidR="003B76CC" w:rsidRDefault="003B76CC">
          <w:pPr>
            <w:rPr>
              <w:sz w:val="14"/>
              <w:szCs w:val="14"/>
            </w:rPr>
          </w:pPr>
        </w:p>
      </w:tc>
      <w:tc>
        <w:tcPr>
          <w:tcW w:w="100" w:type="pct"/>
          <w:tcBorders>
            <w:top w:val="nil"/>
            <w:left w:val="nil"/>
            <w:bottom w:val="nil"/>
            <w:right w:val="nil"/>
          </w:tcBorders>
          <w:shd w:val="clear" w:color="auto" w:fill="auto"/>
          <w:tcMar>
            <w:top w:w="0" w:type="dxa"/>
            <w:left w:w="0" w:type="dxa"/>
            <w:bottom w:w="0" w:type="dxa"/>
            <w:right w:w="0" w:type="dxa"/>
          </w:tcMar>
          <w:vAlign w:val="bottom"/>
        </w:tcPr>
        <w:p w:rsidR="003B76CC" w:rsidRDefault="003B76CC">
          <w:pPr>
            <w:rPr>
              <w:sz w:val="14"/>
              <w:szCs w:val="14"/>
            </w:rPr>
          </w:pPr>
        </w:p>
      </w:tc>
    </w:tr>
  </w:tbl>
  <w:p w:rsidR="003B76CC" w:rsidRDefault="003B76CC">
    <w:pP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810102" w:rsidRDefault="00810102">
      <w:pPr>
        <w:spacing w:line="240" w:lineRule="auto"/>
      </w:pPr>
      <w:r>
        <w:separator/>
      </w:r>
    </w:p>
  </w:footnote>
  <w:footnote w:type="continuationSeparator" w:id="0">
    <w:p w:rsidR="00810102" w:rsidRDefault="0081010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B76CC" w:rsidRDefault="00000000">
    <w:r>
      <w:rPr>
        <w:noProof/>
      </w:rPr>
      <w:drawing>
        <wp:anchor distT="0" distB="0" distL="114300" distR="114300" simplePos="0" relativeHeight="251659264" behindDoc="0" locked="0" layoutInCell="0" allowOverlap="0">
          <wp:simplePos x="0" y="0"/>
          <wp:positionH relativeFrom="page">
            <wp:posOffset>5723890</wp:posOffset>
          </wp:positionH>
          <wp:positionV relativeFrom="page">
            <wp:posOffset>539750</wp:posOffset>
          </wp:positionV>
          <wp:extent cx="590550" cy="395605"/>
          <wp:effectExtent l="0" t="0" r="0" b="0"/>
          <wp:wrapSquare wrapText="bothSides"/>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dpi="0">
                  <a:blip r:embed="rId1"/>
                  <a:srcRect/>
                  <a:stretch>
                    <a:fillRect/>
                  </a:stretch>
                </pic:blipFill>
                <pic:spPr>
                  <a:xfrm>
                    <a:off x="0" y="0"/>
                    <a:ext cx="590550" cy="395605"/>
                  </a:xfrm>
                  <a:prstGeom prst="rect">
                    <a:avLst/>
                  </a:prstGeom>
                </pic:spPr>
              </pic:pic>
            </a:graphicData>
          </a:graphic>
        </wp:anchor>
      </w:drawing>
    </w:r>
    <w:r>
      <w:rPr>
        <w:rFonts w:eastAsia="Arial"/>
        <w:b/>
      </w:rPr>
      <w:t>MEDIENINFORMATION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B76CC" w:rsidRDefault="00000000">
    <w:r>
      <w:rPr>
        <w:noProof/>
      </w:rPr>
      <w:drawing>
        <wp:anchor distT="0" distB="0" distL="114300" distR="114300" simplePos="0" relativeHeight="251658240" behindDoc="0" locked="0" layoutInCell="0" allowOverlap="0">
          <wp:simplePos x="0" y="0"/>
          <wp:positionH relativeFrom="page">
            <wp:posOffset>5723890</wp:posOffset>
          </wp:positionH>
          <wp:positionV relativeFrom="page">
            <wp:posOffset>539750</wp:posOffset>
          </wp:positionV>
          <wp:extent cx="590550" cy="395605"/>
          <wp:effectExtent l="0" t="0" r="0" b="0"/>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dpi="0">
                  <a:blip r:embed="rId1"/>
                  <a:srcRect/>
                  <a:stretch>
                    <a:fillRect/>
                  </a:stretch>
                </pic:blipFill>
                <pic:spPr>
                  <a:xfrm>
                    <a:off x="0" y="0"/>
                    <a:ext cx="590550" cy="395605"/>
                  </a:xfrm>
                  <a:prstGeom prst="rect">
                    <a:avLst/>
                  </a:prstGeom>
                </pic:spPr>
              </pic:pic>
            </a:graphicData>
          </a:graphic>
        </wp:anchor>
      </w:drawing>
    </w:r>
    <w:r>
      <w:rPr>
        <w:rFonts w:eastAsia="Arial"/>
        <w:b/>
      </w:rPr>
      <w:t>MEDIENINFORMATION</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6"/>
  <w:proofState w:spelling="clean" w:grammar="clean"/>
  <w:defaultTabStop w:val="720"/>
  <w:hyphenationZone w:val="425"/>
  <w:characterSpacingControl w:val="compressPunctuation"/>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3B76CC"/>
    <w:rsid w:val="00292B38"/>
    <w:rsid w:val="003B76CC"/>
    <w:rsid w:val="00810102"/>
    <w:rsid w:val="00963AF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4:docId w14:val="337B53D1"/>
  <w15:docId w15:val="{85568B3E-5283-BC46-A4EA-C0B9DD2C6C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Theme="minorEastAsia" w:hAnsi="Arial" w:cs="Arial"/>
        <w:color w:val="000000"/>
        <w:sz w:val="24"/>
        <w:szCs w:val="24"/>
        <w:lang w:val="de-DE" w:eastAsia="de-DE" w:bidi="ar-SA"/>
      </w:rPr>
    </w:rPrDefault>
    <w:pPrDefault>
      <w:pPr>
        <w:spacing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Zeilennummer">
    <w:name w:val="line number"/>
    <w:basedOn w:val="Absatz-Standardschriftart"/>
    <w:semiHidden/>
  </w:style>
  <w:style w:type="character" w:styleId="Hyperlink">
    <w:name w:val="Hyperlink"/>
    <w:rPr>
      <w:color w:val="0000FF"/>
      <w:u w:val="single"/>
    </w:rPr>
  </w:style>
  <w:style w:type="table" w:styleId="TabelleEinfach1">
    <w:name w:val="Table Simple 1"/>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www.aplusr.de" TargetMode="External"/><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image" Target="media/image16.png"/><Relationship Id="rId3" Type="http://schemas.openxmlformats.org/officeDocument/2006/relationships/webSettings" Target="webSettings.xml"/><Relationship Id="rId21" Type="http://schemas.openxmlformats.org/officeDocument/2006/relationships/image" Target="media/image14.jpg"/><Relationship Id="rId7" Type="http://schemas.openxmlformats.org/officeDocument/2006/relationships/hyperlink" Target="mailto:pr@aplusr.de" TargetMode="Externa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hyperlink" Target="https://www.instagram.com/aplusr_architekten/" TargetMode="External"/><Relationship Id="rId2" Type="http://schemas.openxmlformats.org/officeDocument/2006/relationships/settings" Target="settings.xml"/><Relationship Id="rId16" Type="http://schemas.openxmlformats.org/officeDocument/2006/relationships/image" Target="media/image9.jpg"/><Relationship Id="rId20" Type="http://schemas.openxmlformats.org/officeDocument/2006/relationships/image" Target="media/image13.jpg"/><Relationship Id="rId29" Type="http://schemas.openxmlformats.org/officeDocument/2006/relationships/header" Target="header2.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4.jpg"/><Relationship Id="rId24" Type="http://schemas.openxmlformats.org/officeDocument/2006/relationships/hyperlink" Target="http://www.aplusr.de/" TargetMode="External"/><Relationship Id="rId32"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8.jpg"/><Relationship Id="rId23" Type="http://schemas.openxmlformats.org/officeDocument/2006/relationships/hyperlink" Target="http://www.aplusr.de/" TargetMode="External"/><Relationship Id="rId28" Type="http://schemas.openxmlformats.org/officeDocument/2006/relationships/footer" Target="footer1.xml"/><Relationship Id="rId10" Type="http://schemas.openxmlformats.org/officeDocument/2006/relationships/image" Target="media/image3.jpg"/><Relationship Id="rId19" Type="http://schemas.openxmlformats.org/officeDocument/2006/relationships/image" Target="media/image12.jpg"/><Relationship Id="rId31"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image" Target="media/image15.jpg"/><Relationship Id="rId27" Type="http://schemas.openxmlformats.org/officeDocument/2006/relationships/header" Target="header1.xml"/><Relationship Id="rId30"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7.jpg"/></Relationships>
</file>

<file path=word/_rels/header2.xml.rels><?xml version="1.0" encoding="UTF-8" standalone="yes"?>
<Relationships xmlns="http://schemas.openxmlformats.org/package/2006/relationships"><Relationship Id="rId1" Type="http://schemas.openxmlformats.org/officeDocument/2006/relationships/image" Target="media/image1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mpd="sng" algn="ctr">
          <a:solidFill>
            <a:schemeClr val="phClr">
              <a:shade val="95000"/>
              <a:satMod val="105000"/>
            </a:schemeClr>
          </a:solidFill>
          <a:prstDash val="solid"/>
        </a:ln>
        <a:ln w="25400" cmpd="sng" algn="ctr">
          <a:solidFill>
            <a:schemeClr val="phClr"/>
          </a:solidFill>
          <a:prstDash val="solid"/>
        </a:ln>
        <a:ln w="38100"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Pages>
  <Words>1734</Words>
  <Characters>10925</Characters>
  <Application>Microsoft Office Word</Application>
  <DocSecurity>0</DocSecurity>
  <Lines>91</Lines>
  <Paragraphs>25</Paragraphs>
  <ScaleCrop>false</ScaleCrop>
  <Company/>
  <LinksUpToDate>false</LinksUpToDate>
  <CharactersWithSpaces>12634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Bettina Wassermann</cp:lastModifiedBy>
  <cp:revision>2</cp:revision>
  <dcterms:created xsi:type="dcterms:W3CDTF">2024-10-28T12:02:00Z</dcterms:created>
  <dcterms:modified xsi:type="dcterms:W3CDTF">2024-10-28T12:07:00Z</dcterms:modified>
</cp:coreProperties>
</file>